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CFAD">
      <w:pPr>
        <w:pStyle w:val="226"/>
        <w:ind w:firstLine="0"/>
        <w:jc w:val="center"/>
        <w:rPr>
          <w:rFonts w:hint="eastAsia" w:ascii="宋体" w:hAnsi="宋体" w:cs="仿宋"/>
          <w:b/>
          <w:bCs/>
          <w:color w:val="000000"/>
          <w:sz w:val="84"/>
          <w:highlight w:val="none"/>
        </w:rPr>
      </w:pPr>
    </w:p>
    <w:p w14:paraId="5F1D3C1F">
      <w:pPr>
        <w:pStyle w:val="226"/>
        <w:ind w:firstLine="0"/>
        <w:jc w:val="center"/>
        <w:rPr>
          <w:rFonts w:hint="eastAsia" w:ascii="宋体" w:hAnsi="宋体" w:cs="仿宋"/>
          <w:b/>
          <w:bCs/>
          <w:color w:val="000000"/>
          <w:sz w:val="84"/>
          <w:highlight w:val="none"/>
        </w:rPr>
      </w:pPr>
      <w:r>
        <w:rPr>
          <w:rFonts w:hint="eastAsia" w:ascii="宋体" w:hAnsi="宋体" w:cs="仿宋"/>
          <w:b/>
          <w:bCs/>
          <w:color w:val="000000"/>
          <w:sz w:val="84"/>
          <w:highlight w:val="none"/>
        </w:rPr>
        <w:t>招　标　文　件</w:t>
      </w:r>
    </w:p>
    <w:p w14:paraId="1A27D01B">
      <w:pPr>
        <w:pStyle w:val="226"/>
        <w:ind w:left="3840" w:hanging="1606"/>
        <w:rPr>
          <w:rFonts w:ascii="宋体" w:hAnsi="宋体" w:cs="仿宋"/>
          <w:b/>
          <w:bCs/>
          <w:color w:val="000000"/>
          <w:sz w:val="32"/>
          <w:highlight w:val="none"/>
        </w:rPr>
      </w:pPr>
    </w:p>
    <w:p w14:paraId="659098D5">
      <w:pPr>
        <w:pStyle w:val="226"/>
        <w:ind w:left="1300" w:firstLine="0"/>
        <w:rPr>
          <w:rFonts w:hint="eastAsia" w:ascii="宋体" w:hAnsi="宋体" w:cs="仿宋"/>
          <w:b/>
          <w:bCs/>
          <w:color w:val="000000"/>
          <w:sz w:val="32"/>
          <w:highlight w:val="none"/>
        </w:rPr>
      </w:pPr>
      <w:r>
        <w:rPr>
          <w:rFonts w:hint="eastAsia" w:ascii="宋体" w:hAnsi="宋体" w:cs="仿宋"/>
          <w:b/>
          <w:bCs/>
          <w:color w:val="000000"/>
          <w:sz w:val="32"/>
          <w:highlight w:val="none"/>
        </w:rPr>
        <w:t>项目名称：园区地质灾害危险性区域评估项目</w:t>
      </w:r>
    </w:p>
    <w:p w14:paraId="2313A923">
      <w:pPr>
        <w:spacing w:before="120" w:after="120" w:line="360" w:lineRule="auto"/>
        <w:ind w:firstLine="1285"/>
        <w:rPr>
          <w:rFonts w:hint="eastAsia" w:ascii="宋体" w:hAnsi="宋体" w:cs="仿宋"/>
          <w:b/>
          <w:color w:val="000000"/>
          <w:sz w:val="30"/>
          <w:szCs w:val="30"/>
          <w:highlight w:val="none"/>
        </w:rPr>
      </w:pPr>
      <w:r>
        <w:rPr>
          <w:rFonts w:hint="eastAsia" w:ascii="宋体" w:hAnsi="宋体" w:cs="仿宋"/>
          <w:b/>
          <w:bCs/>
          <w:color w:val="000000"/>
          <w:sz w:val="32"/>
          <w:highlight w:val="none"/>
        </w:rPr>
        <w:t>项目编号：</w:t>
      </w:r>
      <w:r>
        <w:rPr>
          <w:rFonts w:hint="eastAsia" w:ascii="宋体" w:hAnsi="宋体" w:cs="仿宋"/>
          <w:b/>
          <w:bCs/>
          <w:color w:val="000000"/>
          <w:sz w:val="32"/>
          <w:szCs w:val="24"/>
          <w:highlight w:val="none"/>
          <w:u w:val="single"/>
          <w:lang w:val="en-US" w:eastAsia="zh-CN"/>
        </w:rPr>
        <w:t xml:space="preserve"> JSZC-320623-NTCJ-G2025-0045  </w:t>
      </w:r>
      <w:r>
        <w:rPr>
          <w:rFonts w:hint="eastAsia" w:ascii="宋体" w:hAnsi="宋体" w:cs="仿宋"/>
          <w:color w:val="000000"/>
          <w:highlight w:val="none"/>
        </w:rPr>
        <w:t xml:space="preserve">        </w:t>
      </w:r>
      <w:r>
        <w:rPr>
          <w:rFonts w:hint="eastAsia" w:ascii="宋体" w:hAnsi="宋体" w:cs="仿宋"/>
          <w:b/>
          <w:color w:val="000000"/>
          <w:sz w:val="30"/>
          <w:szCs w:val="30"/>
          <w:highlight w:val="none"/>
        </w:rPr>
        <w:t xml:space="preserve">   </w:t>
      </w:r>
      <w:r>
        <w:rPr>
          <w:rFonts w:hint="eastAsia" w:ascii="宋体" w:hAnsi="宋体" w:cs="仿宋"/>
          <w:color w:val="000000"/>
          <w:highlight w:val="none"/>
        </w:rPr>
        <w:t xml:space="preserve">  </w:t>
      </w:r>
      <w:r>
        <w:rPr>
          <w:rFonts w:hint="eastAsia" w:ascii="宋体" w:hAnsi="宋体" w:cs="仿宋"/>
          <w:b/>
          <w:color w:val="000000"/>
          <w:sz w:val="30"/>
          <w:szCs w:val="30"/>
          <w:highlight w:val="none"/>
        </w:rPr>
        <w:t xml:space="preserve"> </w:t>
      </w:r>
    </w:p>
    <w:p w14:paraId="2F3F86A5">
      <w:pPr>
        <w:ind w:left="2811" w:hanging="2811"/>
        <w:jc w:val="center"/>
        <w:rPr>
          <w:rFonts w:hint="eastAsia" w:ascii="宋体" w:hAnsi="宋体" w:cs="仿宋"/>
          <w:b/>
          <w:color w:val="000000"/>
          <w:sz w:val="28"/>
          <w:szCs w:val="28"/>
          <w:highlight w:val="none"/>
        </w:rPr>
      </w:pPr>
      <w:r>
        <w:rPr>
          <w:rFonts w:hint="eastAsia" w:ascii="宋体" w:hAnsi="宋体" w:cs="仿宋"/>
          <w:b/>
          <w:color w:val="000000"/>
          <w:sz w:val="28"/>
          <w:szCs w:val="28"/>
          <w:highlight w:val="none"/>
        </w:rPr>
        <w:t xml:space="preserve">     （全流程电子化-服务类项目，适用苏采云系统）</w:t>
      </w:r>
    </w:p>
    <w:p w14:paraId="245F7573">
      <w:pPr>
        <w:pStyle w:val="226"/>
        <w:spacing w:before="0" w:after="0"/>
        <w:ind w:firstLine="0"/>
        <w:rPr>
          <w:rFonts w:hint="eastAsia" w:ascii="宋体" w:hAnsi="宋体" w:cs="仿宋"/>
          <w:color w:val="000000"/>
          <w:highlight w:val="none"/>
        </w:rPr>
      </w:pPr>
    </w:p>
    <w:p w14:paraId="2FD314B3">
      <w:pPr>
        <w:pStyle w:val="226"/>
        <w:spacing w:before="0" w:after="0"/>
        <w:ind w:firstLine="0"/>
        <w:rPr>
          <w:rFonts w:hint="eastAsia" w:ascii="宋体" w:hAnsi="宋体" w:cs="仿宋"/>
          <w:color w:val="000000"/>
          <w:highlight w:val="none"/>
        </w:rPr>
      </w:pPr>
    </w:p>
    <w:p w14:paraId="5AA1D00E">
      <w:pPr>
        <w:pStyle w:val="226"/>
        <w:spacing w:before="0" w:after="0"/>
        <w:ind w:firstLine="0"/>
        <w:rPr>
          <w:rFonts w:hint="eastAsia" w:ascii="宋体" w:hAnsi="宋体" w:cs="仿宋"/>
          <w:color w:val="000000"/>
          <w:highlight w:val="none"/>
        </w:rPr>
      </w:pPr>
    </w:p>
    <w:p w14:paraId="2AE944DE">
      <w:pPr>
        <w:pStyle w:val="226"/>
        <w:spacing w:before="0" w:after="0"/>
        <w:ind w:firstLine="0"/>
        <w:rPr>
          <w:rFonts w:hint="eastAsia" w:ascii="宋体" w:hAnsi="宋体" w:cs="仿宋"/>
          <w:color w:val="000000"/>
          <w:highlight w:val="none"/>
        </w:rPr>
      </w:pPr>
    </w:p>
    <w:p w14:paraId="74F281CE">
      <w:pPr>
        <w:pStyle w:val="226"/>
        <w:spacing w:before="0" w:after="0"/>
        <w:ind w:firstLine="0"/>
        <w:rPr>
          <w:rFonts w:hint="eastAsia" w:ascii="宋体" w:hAnsi="宋体" w:cs="仿宋"/>
          <w:color w:val="000000"/>
          <w:highlight w:val="none"/>
        </w:rPr>
      </w:pPr>
    </w:p>
    <w:p w14:paraId="530F1EFD">
      <w:pPr>
        <w:pStyle w:val="226"/>
        <w:spacing w:before="0" w:after="0"/>
        <w:ind w:firstLine="0"/>
        <w:rPr>
          <w:rFonts w:hint="eastAsia" w:ascii="宋体" w:hAnsi="宋体" w:cs="仿宋"/>
          <w:color w:val="000000"/>
          <w:highlight w:val="none"/>
        </w:rPr>
      </w:pPr>
    </w:p>
    <w:p w14:paraId="701EF7E7">
      <w:pPr>
        <w:pStyle w:val="226"/>
        <w:spacing w:before="0" w:after="0"/>
        <w:ind w:firstLine="0"/>
        <w:rPr>
          <w:rFonts w:hint="eastAsia" w:ascii="宋体" w:hAnsi="宋体" w:cs="仿宋"/>
          <w:color w:val="000000"/>
          <w:highlight w:val="none"/>
        </w:rPr>
      </w:pPr>
    </w:p>
    <w:p w14:paraId="6A09FFC6">
      <w:pPr>
        <w:pStyle w:val="226"/>
        <w:spacing w:before="0" w:after="0"/>
        <w:ind w:firstLine="0"/>
        <w:rPr>
          <w:rFonts w:hint="eastAsia" w:ascii="宋体" w:hAnsi="宋体" w:cs="仿宋"/>
          <w:color w:val="000000"/>
          <w:highlight w:val="none"/>
        </w:rPr>
      </w:pPr>
    </w:p>
    <w:p w14:paraId="00DAA92E">
      <w:pPr>
        <w:pStyle w:val="226"/>
        <w:spacing w:before="0" w:after="0"/>
        <w:ind w:firstLine="0"/>
        <w:rPr>
          <w:rFonts w:hint="eastAsia" w:ascii="宋体" w:hAnsi="宋体" w:cs="仿宋"/>
          <w:color w:val="000000"/>
          <w:highlight w:val="none"/>
        </w:rPr>
      </w:pPr>
    </w:p>
    <w:p w14:paraId="67963B4D">
      <w:pPr>
        <w:pStyle w:val="226"/>
        <w:ind w:firstLine="0"/>
        <w:jc w:val="center"/>
        <w:rPr>
          <w:rFonts w:hint="eastAsia" w:ascii="宋体" w:hAnsi="宋体" w:cs="仿宋"/>
          <w:b/>
          <w:bCs/>
          <w:color w:val="000000"/>
          <w:sz w:val="32"/>
          <w:highlight w:val="none"/>
        </w:rPr>
      </w:pPr>
      <w:r>
        <w:rPr>
          <w:rFonts w:hint="eastAsia" w:ascii="宋体" w:hAnsi="宋体" w:cs="仿宋"/>
          <w:b/>
          <w:bCs/>
          <w:color w:val="000000"/>
          <w:sz w:val="32"/>
          <w:highlight w:val="none"/>
        </w:rPr>
        <w:t>如东县洋口镇人民政府</w:t>
      </w:r>
    </w:p>
    <w:p w14:paraId="1F1974CA">
      <w:pPr>
        <w:pStyle w:val="226"/>
        <w:ind w:firstLine="0"/>
        <w:jc w:val="center"/>
        <w:rPr>
          <w:rFonts w:hint="eastAsia" w:ascii="宋体" w:hAnsi="宋体" w:cs="仿宋"/>
          <w:b/>
          <w:bCs/>
          <w:color w:val="000000"/>
          <w:sz w:val="32"/>
          <w:highlight w:val="none"/>
        </w:rPr>
      </w:pPr>
      <w:r>
        <w:rPr>
          <w:rFonts w:hint="eastAsia" w:ascii="宋体" w:hAnsi="宋体" w:cs="仿宋"/>
          <w:b/>
          <w:bCs/>
          <w:color w:val="000000"/>
          <w:sz w:val="32"/>
          <w:highlight w:val="none"/>
          <w:lang w:val="en-US" w:eastAsia="zh-CN"/>
        </w:rPr>
        <w:t>2025</w:t>
      </w:r>
      <w:r>
        <w:rPr>
          <w:rFonts w:hint="eastAsia" w:ascii="宋体" w:hAnsi="宋体" w:cs="仿宋"/>
          <w:b/>
          <w:bCs/>
          <w:color w:val="000000"/>
          <w:sz w:val="32"/>
          <w:highlight w:val="none"/>
        </w:rPr>
        <w:t>年</w:t>
      </w:r>
      <w:r>
        <w:rPr>
          <w:rFonts w:hint="eastAsia" w:ascii="宋体" w:hAnsi="宋体" w:cs="仿宋"/>
          <w:b/>
          <w:bCs/>
          <w:color w:val="000000"/>
          <w:sz w:val="32"/>
          <w:highlight w:val="none"/>
          <w:lang w:val="en-US" w:eastAsia="zh-CN"/>
        </w:rPr>
        <w:t>12</w:t>
      </w:r>
      <w:r>
        <w:rPr>
          <w:rFonts w:hint="eastAsia" w:ascii="宋体" w:hAnsi="宋体" w:cs="仿宋"/>
          <w:b/>
          <w:bCs/>
          <w:color w:val="000000"/>
          <w:sz w:val="32"/>
          <w:highlight w:val="none"/>
        </w:rPr>
        <w:t>月</w:t>
      </w:r>
    </w:p>
    <w:p w14:paraId="54E6F86B">
      <w:pPr>
        <w:pStyle w:val="226"/>
        <w:ind w:firstLine="0"/>
        <w:rPr>
          <w:rFonts w:hint="eastAsia" w:ascii="宋体" w:hAnsi="宋体" w:cs="仿宋"/>
          <w:color w:val="000000"/>
          <w:highlight w:val="none"/>
          <w:u w:val="single"/>
        </w:rPr>
      </w:pPr>
      <w:r>
        <w:rPr>
          <w:rFonts w:hint="eastAsia" w:ascii="宋体" w:hAnsi="宋体" w:cs="仿宋"/>
          <w:color w:val="000000"/>
          <w:highlight w:val="none"/>
        </w:rPr>
        <w:t xml:space="preserve">                        </w:t>
      </w:r>
    </w:p>
    <w:p w14:paraId="3523F6AC">
      <w:pPr>
        <w:pStyle w:val="226"/>
        <w:ind w:firstLine="0"/>
        <w:jc w:val="center"/>
        <w:rPr>
          <w:rFonts w:hint="eastAsia" w:ascii="宋体" w:hAnsi="宋体" w:cs="仿宋"/>
          <w:color w:val="000000"/>
          <w:highlight w:val="none"/>
        </w:rPr>
      </w:pPr>
    </w:p>
    <w:p w14:paraId="6B77AE71">
      <w:pPr>
        <w:spacing w:line="480" w:lineRule="auto"/>
        <w:jc w:val="center"/>
        <w:rPr>
          <w:rFonts w:hint="eastAsia" w:ascii="宋体" w:hAnsi="宋体" w:cs="仿宋"/>
          <w:color w:val="000000"/>
          <w:highlight w:val="none"/>
        </w:rPr>
        <w:sectPr>
          <w:headerReference r:id="rId3" w:type="default"/>
          <w:pgSz w:w="11907" w:h="16840"/>
          <w:pgMar w:top="1691" w:right="1273" w:bottom="1296" w:left="1426" w:header="1393" w:footer="1136" w:gutter="0"/>
          <w:cols w:space="1701" w:num="1"/>
          <w:docGrid w:linePitch="360" w:charSpace="0"/>
        </w:sectPr>
      </w:pPr>
    </w:p>
    <w:p w14:paraId="4CB549DE">
      <w:pPr>
        <w:pStyle w:val="226"/>
        <w:ind w:firstLine="0"/>
        <w:jc w:val="both"/>
        <w:rPr>
          <w:rFonts w:hint="eastAsia" w:ascii="宋体" w:hAnsi="宋体" w:eastAsia="宋体" w:cs="宋体"/>
          <w:color w:val="auto"/>
          <w:highlight w:val="none"/>
        </w:rPr>
      </w:pPr>
    </w:p>
    <w:p w14:paraId="288BAF4B">
      <w:pPr>
        <w:spacing w:line="480" w:lineRule="auto"/>
        <w:ind w:firstLine="3570"/>
        <w:rPr>
          <w:rFonts w:hint="eastAsia" w:ascii="宋体" w:hAnsi="宋体" w:eastAsia="宋体" w:cs="宋体"/>
          <w:b/>
          <w:color w:val="auto"/>
          <w:sz w:val="44"/>
          <w:highlight w:val="none"/>
        </w:rPr>
      </w:pPr>
      <w:bookmarkStart w:id="0" w:name="_Toc120614210"/>
      <w:bookmarkStart w:id="1" w:name="_Toc20823272"/>
      <w:bookmarkStart w:id="2" w:name="_Toc16938516"/>
      <w:bookmarkStart w:id="3" w:name="_Toc479757206"/>
      <w:bookmarkStart w:id="4" w:name="_Toc513029200"/>
      <w:bookmarkStart w:id="5" w:name="_Toc523127445"/>
      <w:r>
        <w:rPr>
          <w:rFonts w:hint="eastAsia" w:ascii="宋体" w:hAnsi="宋体" w:eastAsia="宋体" w:cs="宋体"/>
          <w:b/>
          <w:color w:val="auto"/>
          <w:sz w:val="44"/>
          <w:highlight w:val="none"/>
        </w:rPr>
        <w:t>总  目  录</w:t>
      </w:r>
    </w:p>
    <w:p w14:paraId="55B28456">
      <w:pPr>
        <w:rPr>
          <w:rFonts w:hint="eastAsia" w:ascii="宋体" w:hAnsi="宋体" w:eastAsia="宋体" w:cs="宋体"/>
          <w:color w:val="auto"/>
          <w:highlight w:val="none"/>
        </w:rPr>
      </w:pPr>
    </w:p>
    <w:p w14:paraId="694A72C2">
      <w:pPr>
        <w:rPr>
          <w:rFonts w:hint="eastAsia" w:ascii="宋体" w:hAnsi="宋体" w:eastAsia="宋体" w:cs="宋体"/>
          <w:color w:val="auto"/>
          <w:highlight w:val="none"/>
        </w:rPr>
      </w:pPr>
    </w:p>
    <w:p w14:paraId="18BA25D5">
      <w:pPr>
        <w:pStyle w:val="24"/>
        <w:rPr>
          <w:rFonts w:hint="eastAsia" w:ascii="宋体" w:hAnsi="宋体" w:eastAsia="宋体" w:cs="宋体"/>
          <w:caps w:val="0"/>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"_Toc186493267" </w:instrText>
      </w:r>
      <w:r>
        <w:rPr>
          <w:rFonts w:hint="eastAsia" w:ascii="宋体" w:hAnsi="宋体" w:eastAsia="宋体" w:cs="宋体"/>
          <w:color w:val="auto"/>
          <w:highlight w:val="none"/>
        </w:rPr>
        <w:fldChar w:fldCharType="separate"/>
      </w:r>
      <w:r>
        <w:rPr>
          <w:rStyle w:val="42"/>
          <w:rFonts w:hint="eastAsia" w:ascii="宋体" w:hAnsi="宋体" w:eastAsia="宋体" w:cs="宋体"/>
          <w:b/>
          <w:bCs/>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_Toc186493267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B21561">
      <w:pPr>
        <w:pStyle w:val="24"/>
        <w:rPr>
          <w:rFonts w:hint="eastAsia" w:ascii="宋体" w:hAnsi="宋体" w:eastAsia="宋体" w:cs="宋体"/>
          <w:caps w:val="0"/>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"_Toc186493268" </w:instrText>
      </w:r>
      <w:r>
        <w:rPr>
          <w:rFonts w:hint="eastAsia" w:ascii="宋体" w:hAnsi="宋体" w:eastAsia="宋体" w:cs="宋体"/>
          <w:color w:val="auto"/>
          <w:highlight w:val="none"/>
        </w:rPr>
        <w:fldChar w:fldCharType="separate"/>
      </w:r>
      <w:r>
        <w:rPr>
          <w:rStyle w:val="42"/>
          <w:rFonts w:hint="eastAsia" w:ascii="宋体" w:hAnsi="宋体" w:eastAsia="宋体" w:cs="宋体"/>
          <w:b/>
          <w:bCs/>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_Toc186493268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5871DC">
      <w:pPr>
        <w:pStyle w:val="24"/>
        <w:rPr>
          <w:rFonts w:hint="eastAsia" w:ascii="宋体" w:hAnsi="宋体" w:eastAsia="宋体" w:cs="宋体"/>
          <w:caps w:val="0"/>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"_Toc186493269" </w:instrText>
      </w:r>
      <w:r>
        <w:rPr>
          <w:rFonts w:hint="eastAsia" w:ascii="宋体" w:hAnsi="宋体" w:eastAsia="宋体" w:cs="宋体"/>
          <w:color w:val="auto"/>
          <w:highlight w:val="none"/>
        </w:rPr>
        <w:fldChar w:fldCharType="separate"/>
      </w:r>
      <w:r>
        <w:rPr>
          <w:rStyle w:val="42"/>
          <w:rFonts w:hint="eastAsia" w:ascii="宋体" w:hAnsi="宋体" w:eastAsia="宋体" w:cs="宋体"/>
          <w:b/>
          <w:color w:val="auto"/>
          <w:highlight w:val="none"/>
        </w:rPr>
        <w:t xml:space="preserve">第三章 </w:t>
      </w:r>
      <w:r>
        <w:rPr>
          <w:rStyle w:val="42"/>
          <w:rFonts w:hint="eastAsia" w:cs="宋体"/>
          <w:b/>
          <w:color w:val="auto"/>
          <w:highlight w:val="none"/>
          <w:lang w:val="en-US" w:eastAsia="zh-CN"/>
        </w:rPr>
        <w:t xml:space="preserve"> </w:t>
      </w:r>
      <w:r>
        <w:rPr>
          <w:rStyle w:val="42"/>
          <w:rFonts w:hint="eastAsia" w:ascii="宋体" w:hAnsi="宋体" w:eastAsia="宋体" w:cs="宋体"/>
          <w:b/>
          <w:color w:val="auto"/>
          <w:highlight w:val="none"/>
        </w:rPr>
        <w:t>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_Toc186493269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3DA74D">
      <w:pPr>
        <w:pStyle w:val="24"/>
        <w:rPr>
          <w:rFonts w:hint="eastAsia" w:ascii="宋体" w:hAnsi="宋体" w:eastAsia="宋体" w:cs="宋体"/>
          <w:caps w:val="0"/>
          <w:color w:val="auto"/>
          <w:sz w:val="21"/>
          <w:szCs w:val="2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"_Toc186493270" </w:instrText>
      </w:r>
      <w:r>
        <w:rPr>
          <w:rFonts w:hint="eastAsia" w:ascii="宋体" w:hAnsi="宋体" w:eastAsia="宋体" w:cs="宋体"/>
          <w:color w:val="auto"/>
          <w:highlight w:val="none"/>
        </w:rPr>
        <w:fldChar w:fldCharType="separate"/>
      </w:r>
      <w:r>
        <w:rPr>
          <w:rStyle w:val="42"/>
          <w:rFonts w:hint="eastAsia" w:ascii="宋体" w:hAnsi="宋体" w:eastAsia="宋体" w:cs="宋体"/>
          <w:b/>
          <w:color w:val="auto"/>
          <w:highlight w:val="none"/>
        </w:rPr>
        <w:t>第四章  评标方</w:t>
      </w:r>
      <w:r>
        <w:rPr>
          <w:rStyle w:val="42"/>
          <w:rFonts w:hint="eastAsia" w:ascii="宋体" w:hAnsi="宋体" w:eastAsia="宋体" w:cs="宋体"/>
          <w:b/>
          <w:bCs/>
          <w:color w:val="auto"/>
          <w:highlight w:val="none"/>
        </w:rPr>
        <w:t>法与评标标准</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lang w:val="en-US" w:eastAsia="zh-CN"/>
        </w:rPr>
        <w:t>1</w:t>
      </w:r>
    </w:p>
    <w:p w14:paraId="42E01153">
      <w:pPr>
        <w:pStyle w:val="24"/>
        <w:rPr>
          <w:rFonts w:hint="eastAsia" w:ascii="宋体" w:hAnsi="宋体" w:eastAsia="宋体" w:cs="宋体"/>
          <w:color w:val="auto"/>
          <w:highlight w:val="none"/>
          <w:lang w:val="en-US" w:eastAsia="zh-CN"/>
        </w:rPr>
      </w:pPr>
      <w:r>
        <w:rPr>
          <w:rStyle w:val="42"/>
          <w:rFonts w:hint="eastAsia" w:ascii="宋体" w:hAnsi="宋体" w:eastAsia="宋体" w:cs="宋体"/>
          <w:b/>
          <w:bCs/>
          <w:color w:val="auto"/>
          <w:highlight w:val="none"/>
          <w:lang w:val="en-US" w:eastAsia="zh-CN"/>
        </w:rPr>
        <w:t>第五章  合同文本格式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27</w:t>
      </w:r>
    </w:p>
    <w:p w14:paraId="1FD4D7DF">
      <w:pPr>
        <w:pStyle w:val="24"/>
        <w:rPr>
          <w:rFonts w:hint="eastAsia" w:ascii="宋体" w:hAnsi="宋体" w:eastAsia="宋体" w:cs="宋体"/>
          <w:caps w:val="0"/>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"_Toc186493271" </w:instrText>
      </w:r>
      <w:r>
        <w:rPr>
          <w:rFonts w:hint="eastAsia" w:ascii="宋体" w:hAnsi="宋体" w:eastAsia="宋体" w:cs="宋体"/>
          <w:color w:val="auto"/>
          <w:highlight w:val="none"/>
        </w:rPr>
        <w:fldChar w:fldCharType="separate"/>
      </w:r>
      <w:r>
        <w:rPr>
          <w:rStyle w:val="42"/>
          <w:rFonts w:hint="eastAsia" w:ascii="宋体" w:hAnsi="宋体" w:eastAsia="宋体" w:cs="宋体"/>
          <w:b/>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_Toc186493271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73A1E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7CA2399F">
      <w:pPr>
        <w:rPr>
          <w:rFonts w:hint="eastAsia" w:ascii="宋体" w:hAnsi="宋体" w:eastAsia="宋体" w:cs="宋体"/>
          <w:color w:val="auto"/>
          <w:sz w:val="36"/>
          <w:szCs w:val="36"/>
          <w:highlight w:val="none"/>
        </w:rPr>
      </w:pPr>
    </w:p>
    <w:p w14:paraId="06382804">
      <w:pPr>
        <w:rPr>
          <w:rFonts w:hint="eastAsia" w:ascii="宋体" w:hAnsi="宋体" w:eastAsia="宋体" w:cs="宋体"/>
          <w:color w:val="auto"/>
          <w:sz w:val="36"/>
          <w:szCs w:val="36"/>
          <w:highlight w:val="none"/>
        </w:rPr>
      </w:pPr>
    </w:p>
    <w:p w14:paraId="1C206397">
      <w:pPr>
        <w:rPr>
          <w:rFonts w:hint="eastAsia" w:ascii="宋体" w:hAnsi="宋体" w:eastAsia="宋体" w:cs="宋体"/>
          <w:color w:val="auto"/>
          <w:sz w:val="36"/>
          <w:szCs w:val="36"/>
          <w:highlight w:val="none"/>
        </w:rPr>
      </w:pPr>
    </w:p>
    <w:p w14:paraId="3594821B">
      <w:pPr>
        <w:rPr>
          <w:rFonts w:hint="eastAsia" w:ascii="宋体" w:hAnsi="宋体" w:eastAsia="宋体" w:cs="宋体"/>
          <w:color w:val="auto"/>
          <w:sz w:val="36"/>
          <w:szCs w:val="36"/>
          <w:highlight w:val="none"/>
        </w:rPr>
      </w:pPr>
    </w:p>
    <w:p w14:paraId="7158D46F">
      <w:pPr>
        <w:rPr>
          <w:rFonts w:hint="eastAsia" w:ascii="宋体" w:hAnsi="宋体" w:eastAsia="宋体" w:cs="宋体"/>
          <w:color w:val="auto"/>
          <w:sz w:val="36"/>
          <w:szCs w:val="36"/>
          <w:highlight w:val="none"/>
        </w:rPr>
      </w:pPr>
    </w:p>
    <w:p w14:paraId="117ABF7E">
      <w:pPr>
        <w:rPr>
          <w:rFonts w:hint="eastAsia" w:ascii="宋体" w:hAnsi="宋体" w:eastAsia="宋体" w:cs="宋体"/>
          <w:color w:val="auto"/>
          <w:highlight w:val="none"/>
        </w:rPr>
      </w:pPr>
    </w:p>
    <w:p w14:paraId="3EDE3DF2">
      <w:pPr>
        <w:rPr>
          <w:rFonts w:hint="eastAsia" w:ascii="宋体" w:hAnsi="宋体" w:eastAsia="宋体" w:cs="宋体"/>
          <w:color w:val="auto"/>
          <w:highlight w:val="none"/>
        </w:rPr>
      </w:pPr>
    </w:p>
    <w:p w14:paraId="5738DD17">
      <w:pPr>
        <w:rPr>
          <w:rFonts w:hint="eastAsia" w:ascii="宋体" w:hAnsi="宋体" w:eastAsia="宋体" w:cs="宋体"/>
          <w:color w:val="auto"/>
          <w:highlight w:val="none"/>
        </w:rPr>
      </w:pPr>
    </w:p>
    <w:p w14:paraId="73E19908">
      <w:pPr>
        <w:rPr>
          <w:rFonts w:hint="eastAsia" w:ascii="宋体" w:hAnsi="宋体" w:eastAsia="宋体" w:cs="宋体"/>
          <w:color w:val="auto"/>
          <w:highlight w:val="none"/>
        </w:rPr>
      </w:pPr>
    </w:p>
    <w:p w14:paraId="419E121F">
      <w:pPr>
        <w:rPr>
          <w:rFonts w:hint="eastAsia" w:ascii="宋体" w:hAnsi="宋体" w:eastAsia="宋体" w:cs="宋体"/>
          <w:color w:val="auto"/>
          <w:highlight w:val="none"/>
        </w:rPr>
      </w:pPr>
    </w:p>
    <w:p w14:paraId="2BD33A29">
      <w:pPr>
        <w:rPr>
          <w:rFonts w:hint="eastAsia" w:ascii="宋体" w:hAnsi="宋体" w:eastAsia="宋体" w:cs="宋体"/>
          <w:color w:val="auto"/>
          <w:highlight w:val="none"/>
        </w:rPr>
      </w:pPr>
    </w:p>
    <w:p w14:paraId="1C31F0BE">
      <w:pPr>
        <w:rPr>
          <w:rFonts w:hint="eastAsia" w:ascii="宋体" w:hAnsi="宋体" w:eastAsia="宋体" w:cs="宋体"/>
          <w:color w:val="auto"/>
          <w:highlight w:val="none"/>
        </w:rPr>
      </w:pPr>
    </w:p>
    <w:p w14:paraId="3633AEB7">
      <w:pPr>
        <w:rPr>
          <w:rFonts w:hint="eastAsia" w:ascii="宋体" w:hAnsi="宋体" w:eastAsia="宋体" w:cs="宋体"/>
          <w:color w:val="auto"/>
          <w:highlight w:val="none"/>
        </w:rPr>
      </w:pPr>
    </w:p>
    <w:p w14:paraId="199CF0F5">
      <w:pPr>
        <w:rPr>
          <w:rFonts w:hint="eastAsia" w:ascii="宋体" w:hAnsi="宋体" w:eastAsia="宋体" w:cs="宋体"/>
          <w:color w:val="auto"/>
          <w:highlight w:val="none"/>
        </w:rPr>
      </w:pPr>
    </w:p>
    <w:p w14:paraId="453A09D7">
      <w:pPr>
        <w:rPr>
          <w:rFonts w:hint="eastAsia" w:ascii="宋体" w:hAnsi="宋体" w:eastAsia="宋体" w:cs="宋体"/>
          <w:color w:val="auto"/>
          <w:highlight w:val="none"/>
        </w:rPr>
      </w:pPr>
    </w:p>
    <w:p w14:paraId="4C433551">
      <w:pPr>
        <w:rPr>
          <w:rFonts w:hint="eastAsia" w:ascii="宋体" w:hAnsi="宋体" w:eastAsia="宋体" w:cs="宋体"/>
          <w:color w:val="auto"/>
          <w:highlight w:val="none"/>
        </w:rPr>
      </w:pPr>
    </w:p>
    <w:p w14:paraId="495B566B">
      <w:pPr>
        <w:rPr>
          <w:rFonts w:hint="eastAsia" w:ascii="宋体" w:hAnsi="宋体" w:eastAsia="宋体" w:cs="宋体"/>
          <w:color w:val="auto"/>
          <w:highlight w:val="none"/>
        </w:rPr>
      </w:pPr>
    </w:p>
    <w:p w14:paraId="6639B87F">
      <w:pPr>
        <w:rPr>
          <w:rFonts w:hint="eastAsia" w:ascii="宋体" w:hAnsi="宋体" w:eastAsia="宋体" w:cs="宋体"/>
          <w:color w:val="auto"/>
          <w:highlight w:val="none"/>
        </w:rPr>
      </w:pPr>
    </w:p>
    <w:p w14:paraId="09574EA6">
      <w:pPr>
        <w:pStyle w:val="2"/>
        <w:rPr>
          <w:rFonts w:hint="eastAsia" w:ascii="宋体" w:hAnsi="宋体" w:eastAsia="宋体" w:cs="宋体"/>
          <w:b/>
          <w:bCs/>
          <w:color w:val="auto"/>
          <w:sz w:val="44"/>
          <w:szCs w:val="44"/>
          <w:highlight w:val="none"/>
        </w:rPr>
        <w:sectPr>
          <w:footerReference r:id="rId4"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docGrid w:linePitch="360" w:charSpace="0"/>
        </w:sectPr>
      </w:pPr>
    </w:p>
    <w:p w14:paraId="30653B59">
      <w:pPr>
        <w:pStyle w:val="2"/>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44"/>
          <w:szCs w:val="44"/>
          <w:highlight w:val="none"/>
        </w:rPr>
      </w:pPr>
      <w:bookmarkStart w:id="6" w:name="_Toc186493267"/>
      <w:r>
        <w:rPr>
          <w:rFonts w:hint="eastAsia" w:ascii="宋体" w:hAnsi="宋体" w:eastAsia="宋体" w:cs="宋体"/>
          <w:b/>
          <w:bCs/>
          <w:color w:val="auto"/>
          <w:sz w:val="44"/>
          <w:szCs w:val="44"/>
          <w:highlight w:val="none"/>
        </w:rPr>
        <w:t xml:space="preserve">第一章  </w:t>
      </w:r>
      <w:bookmarkEnd w:id="0"/>
      <w:r>
        <w:rPr>
          <w:rFonts w:hint="eastAsia" w:ascii="宋体" w:hAnsi="宋体" w:eastAsia="宋体" w:cs="宋体"/>
          <w:b/>
          <w:bCs/>
          <w:color w:val="auto"/>
          <w:sz w:val="44"/>
          <w:szCs w:val="44"/>
          <w:highlight w:val="none"/>
        </w:rPr>
        <w:t>投标邀请</w:t>
      </w:r>
      <w:bookmarkEnd w:id="6"/>
    </w:p>
    <w:p w14:paraId="1C541162">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如东县洋口镇人民政府</w:t>
      </w:r>
      <w:r>
        <w:rPr>
          <w:rFonts w:hint="eastAsia" w:ascii="宋体" w:hAnsi="宋体" w:eastAsia="宋体" w:cs="宋体"/>
          <w:color w:val="auto"/>
          <w:sz w:val="24"/>
          <w:szCs w:val="24"/>
          <w:highlight w:val="none"/>
        </w:rPr>
        <w:t>的委托， 就</w:t>
      </w:r>
      <w:r>
        <w:rPr>
          <w:rFonts w:hint="eastAsia" w:ascii="宋体" w:hAnsi="宋体" w:cs="宋体"/>
          <w:color w:val="auto"/>
          <w:sz w:val="24"/>
          <w:szCs w:val="24"/>
          <w:highlight w:val="none"/>
          <w:lang w:eastAsia="zh-CN"/>
        </w:rPr>
        <w:t>园区地质灾害危险性区域评估项目</w:t>
      </w:r>
      <w:r>
        <w:rPr>
          <w:rFonts w:hint="eastAsia" w:ascii="宋体" w:hAnsi="宋体" w:eastAsia="宋体" w:cs="宋体"/>
          <w:color w:val="auto"/>
          <w:sz w:val="24"/>
          <w:szCs w:val="24"/>
          <w:highlight w:val="none"/>
        </w:rPr>
        <w:t>进行公开招标采购，欢迎符合条件的供应商投标。</w:t>
      </w:r>
    </w:p>
    <w:p w14:paraId="3B6D3455">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4DB2A12B">
      <w:pPr>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园区地质灾害危险性区域评估项目</w:t>
      </w:r>
      <w:r>
        <w:rPr>
          <w:rFonts w:hint="eastAsia" w:ascii="宋体" w:hAnsi="宋体" w:eastAsia="宋体" w:cs="宋体"/>
          <w:color w:val="auto"/>
          <w:sz w:val="24"/>
          <w:szCs w:val="24"/>
          <w:highlight w:val="none"/>
        </w:rPr>
        <w:t>招标的潜在投标人可在</w:t>
      </w:r>
      <w:r>
        <w:rPr>
          <w:rFonts w:hint="eastAsia" w:ascii="宋体" w:hAnsi="宋体" w:eastAsia="宋体" w:cs="宋体"/>
          <w:color w:val="auto"/>
          <w:sz w:val="24"/>
          <w:szCs w:val="24"/>
          <w:highlight w:val="none"/>
          <w:u w:val="single"/>
        </w:rPr>
        <w:t>“江苏政府采购网”自行免费下载</w:t>
      </w:r>
      <w:r>
        <w:rPr>
          <w:rFonts w:hint="eastAsia" w:ascii="宋体" w:hAnsi="宋体" w:eastAsia="宋体" w:cs="宋体"/>
          <w:color w:val="auto"/>
          <w:sz w:val="24"/>
          <w:szCs w:val="24"/>
          <w:highlight w:val="none"/>
        </w:rPr>
        <w:t>招标文件，并于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1月14日</w:t>
      </w:r>
      <w:r>
        <w:rPr>
          <w:rFonts w:hint="eastAsia" w:ascii="宋体" w:hAnsi="宋体" w:eastAsia="宋体" w:cs="宋体"/>
          <w:bCs/>
          <w:color w:val="auto"/>
          <w:sz w:val="24"/>
          <w:szCs w:val="24"/>
          <w:highlight w:val="none"/>
          <w:u w:val="single"/>
        </w:rPr>
        <w:t>上午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702BDEB7">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bookmarkStart w:id="7" w:name="_Toc28359002"/>
      <w:bookmarkStart w:id="8" w:name="_Toc38985263"/>
      <w:bookmarkStart w:id="9" w:name="_Toc28359079"/>
      <w:bookmarkStart w:id="10" w:name="_Toc35393621"/>
      <w:bookmarkStart w:id="11" w:name="_Toc35393790"/>
      <w:bookmarkStart w:id="12" w:name="_Hlk24379207"/>
      <w:r>
        <w:rPr>
          <w:rFonts w:hint="eastAsia" w:ascii="宋体" w:hAnsi="宋体" w:eastAsia="宋体" w:cs="宋体"/>
          <w:b/>
          <w:bCs/>
          <w:color w:val="auto"/>
          <w:sz w:val="32"/>
          <w:szCs w:val="32"/>
          <w:highlight w:val="none"/>
        </w:rPr>
        <w:t>一、项目基本情况</w:t>
      </w:r>
      <w:bookmarkEnd w:id="7"/>
      <w:bookmarkEnd w:id="8"/>
      <w:bookmarkEnd w:id="9"/>
      <w:bookmarkEnd w:id="10"/>
      <w:bookmarkEnd w:id="11"/>
    </w:p>
    <w:p w14:paraId="727BAD86">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1.项目编号：JSZC-320623-NTCJ-G2025-0045</w:t>
      </w:r>
    </w:p>
    <w:p w14:paraId="7FF96B3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bookmarkEnd w:id="12"/>
      <w:r>
        <w:rPr>
          <w:rFonts w:hint="eastAsia" w:ascii="宋体" w:hAnsi="宋体" w:cs="宋体"/>
          <w:color w:val="auto"/>
          <w:sz w:val="24"/>
          <w:szCs w:val="24"/>
          <w:highlight w:val="none"/>
          <w:lang w:eastAsia="zh-CN"/>
        </w:rPr>
        <w:t>园区地质灾害危险性区域评估项目</w:t>
      </w:r>
    </w:p>
    <w:p w14:paraId="150E6C0B">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3.采购方式：公开招标</w:t>
      </w:r>
    </w:p>
    <w:p w14:paraId="75650002">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4.项目类型：服务</w:t>
      </w:r>
    </w:p>
    <w:p w14:paraId="6C7F60D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5.所属行业：其他未列明行业</w:t>
      </w:r>
    </w:p>
    <w:p w14:paraId="7B2CAF2C">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6.预算金额（人民币）：</w:t>
      </w:r>
      <w:r>
        <w:rPr>
          <w:rFonts w:hint="eastAsia" w:ascii="宋体" w:hAnsi="宋体" w:cs="宋体"/>
          <w:color w:val="auto"/>
          <w:sz w:val="24"/>
          <w:szCs w:val="24"/>
          <w:highlight w:val="none"/>
          <w:lang w:val="en-US" w:eastAsia="zh-CN"/>
        </w:rPr>
        <w:t>120万元</w:t>
      </w:r>
      <w:r>
        <w:rPr>
          <w:rFonts w:hint="eastAsia" w:ascii="宋体" w:hAnsi="宋体" w:eastAsia="宋体" w:cs="宋体"/>
          <w:color w:val="auto"/>
          <w:sz w:val="24"/>
          <w:szCs w:val="24"/>
          <w:highlight w:val="none"/>
          <w:lang w:val="en-US" w:eastAsia="zh-CN"/>
        </w:rPr>
        <w:t>。</w:t>
      </w:r>
    </w:p>
    <w:p w14:paraId="4799ABF0">
      <w:pPr>
        <w:keepLines w:val="0"/>
        <w:pageBreakBefore w:val="0"/>
        <w:widowControl w:val="0"/>
        <w:kinsoku/>
        <w:wordWrap/>
        <w:overflowPunct/>
        <w:topLinePunct w:val="0"/>
        <w:autoSpaceDE/>
        <w:autoSpaceDN/>
        <w:bidi w:val="0"/>
        <w:adjustRightInd/>
        <w:snapToGrid/>
        <w:spacing w:line="360" w:lineRule="auto"/>
        <w:ind w:firstLine="7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最高限价：</w:t>
      </w:r>
      <w:r>
        <w:rPr>
          <w:rFonts w:hint="eastAsia" w:ascii="宋体" w:hAnsi="宋体" w:cs="宋体"/>
          <w:color w:val="auto"/>
          <w:sz w:val="24"/>
          <w:szCs w:val="24"/>
          <w:highlight w:val="none"/>
          <w:lang w:val="en-US" w:eastAsia="zh-CN"/>
        </w:rPr>
        <w:t>120万元</w:t>
      </w:r>
      <w:r>
        <w:rPr>
          <w:rFonts w:hint="eastAsia" w:ascii="宋体" w:hAnsi="宋体" w:eastAsia="宋体" w:cs="宋体"/>
          <w:color w:val="auto"/>
          <w:sz w:val="24"/>
          <w:szCs w:val="24"/>
          <w:highlight w:val="none"/>
          <w:lang w:val="en-US" w:eastAsia="zh-CN"/>
        </w:rPr>
        <w:t>。</w:t>
      </w:r>
    </w:p>
    <w:p w14:paraId="43242C90">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7.采购需求（简介）：详细内容见本招标文件第三章</w:t>
      </w:r>
      <w:r>
        <w:rPr>
          <w:rFonts w:hint="eastAsia" w:ascii="宋体" w:hAnsi="宋体" w:eastAsia="宋体" w:cs="宋体"/>
          <w:color w:val="auto"/>
          <w:sz w:val="24"/>
          <w:szCs w:val="24"/>
          <w:highlight w:val="none"/>
          <w:lang w:eastAsia="zh-CN"/>
        </w:rPr>
        <w:t>。</w:t>
      </w:r>
    </w:p>
    <w:p w14:paraId="417CF50B">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8.合同履行期限</w:t>
      </w:r>
      <w:r>
        <w:rPr>
          <w:rFonts w:hint="eastAsia" w:ascii="宋体" w:hAnsi="宋体" w:eastAsia="宋体" w:cs="宋体"/>
          <w:color w:val="auto"/>
          <w:sz w:val="24"/>
          <w:szCs w:val="24"/>
          <w:highlight w:val="none"/>
          <w:lang w:val="en-US" w:eastAsia="zh-CN"/>
        </w:rPr>
        <w:t>:2026年2月28日前提交评估报告并通过专家评审。</w:t>
      </w:r>
    </w:p>
    <w:p w14:paraId="61167BA8">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9.本项目（是/否）接受联合体投标：</w:t>
      </w:r>
      <w:r>
        <w:rPr>
          <w:rFonts w:hint="eastAsia" w:ascii="宋体" w:hAnsi="宋体" w:eastAsia="宋体" w:cs="宋体"/>
          <w:color w:val="auto"/>
          <w:sz w:val="24"/>
          <w:szCs w:val="24"/>
          <w:highlight w:val="none"/>
          <w:lang w:val="en-US" w:eastAsia="zh-CN"/>
        </w:rPr>
        <w:t>否。</w:t>
      </w:r>
    </w:p>
    <w:p w14:paraId="3E984164">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bookmarkStart w:id="13" w:name="_Toc28359080"/>
      <w:bookmarkStart w:id="14" w:name="_Toc35393622"/>
      <w:bookmarkStart w:id="15" w:name="_Toc35393791"/>
      <w:bookmarkStart w:id="16" w:name="_Toc38985264"/>
      <w:bookmarkStart w:id="17" w:name="_Toc28359003"/>
      <w:r>
        <w:rPr>
          <w:rFonts w:hint="eastAsia" w:ascii="宋体" w:hAnsi="宋体" w:eastAsia="宋体" w:cs="宋体"/>
          <w:b/>
          <w:bCs/>
          <w:color w:val="auto"/>
          <w:sz w:val="32"/>
          <w:szCs w:val="32"/>
          <w:highlight w:val="none"/>
        </w:rPr>
        <w:t>二、申请人的资格要求：</w:t>
      </w:r>
      <w:bookmarkEnd w:id="13"/>
      <w:bookmarkEnd w:id="14"/>
      <w:bookmarkEnd w:id="15"/>
      <w:bookmarkEnd w:id="16"/>
      <w:bookmarkEnd w:id="17"/>
    </w:p>
    <w:p w14:paraId="37D33B2A">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bookmarkStart w:id="18" w:name="_Toc28359081"/>
      <w:bookmarkStart w:id="19" w:name="_Toc35393623"/>
      <w:bookmarkStart w:id="20" w:name="_Toc35393792"/>
      <w:bookmarkStart w:id="21" w:name="_Toc28359004"/>
      <w:bookmarkStart w:id="22" w:name="_Toc38985265"/>
      <w:r>
        <w:rPr>
          <w:rFonts w:hint="eastAsia" w:ascii="宋体" w:hAnsi="宋体" w:eastAsia="宋体" w:cs="宋体"/>
          <w:color w:val="auto"/>
          <w:sz w:val="24"/>
          <w:szCs w:val="24"/>
          <w:highlight w:val="none"/>
        </w:rPr>
        <w:t>（一）通用资格要求</w:t>
      </w:r>
    </w:p>
    <w:p w14:paraId="5F5B4B38">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1.满足《中华人民共和国政府采购法》第二十二条规定；（按附件3格式进行声明，投标文件中无需提供其他证明材料）；</w:t>
      </w:r>
    </w:p>
    <w:p w14:paraId="27637193">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6A7613F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落实政府采购政策需满足的资格要求：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rPr>
        <w:t>。</w:t>
      </w:r>
    </w:p>
    <w:p w14:paraId="0F71AAD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i w:val="0"/>
          <w:iCs w:val="0"/>
          <w:caps w:val="0"/>
          <w:spacing w:val="0"/>
          <w:sz w:val="24"/>
          <w:szCs w:val="24"/>
          <w:shd w:val="clear" w:color="auto" w:fill="FFFFFF"/>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本项目的特定资格要求：</w:t>
      </w:r>
      <w:r>
        <w:rPr>
          <w:rFonts w:hint="eastAsia" w:ascii="宋体" w:hAnsi="宋体" w:eastAsia="宋体" w:cs="宋体"/>
          <w:i w:val="0"/>
          <w:iCs w:val="0"/>
          <w:caps w:val="0"/>
          <w:spacing w:val="0"/>
          <w:sz w:val="24"/>
          <w:szCs w:val="24"/>
          <w:shd w:val="clear" w:color="auto" w:fill="FFFFFF"/>
        </w:rPr>
        <w:t>具有独立承担民事责任的能力，持有效营业执照，且具有地质灾害危险性评估甲级资质</w:t>
      </w:r>
      <w:r>
        <w:rPr>
          <w:rFonts w:hint="eastAsia" w:ascii="宋体" w:hAnsi="宋体" w:eastAsia="宋体" w:cs="宋体"/>
          <w:i w:val="0"/>
          <w:iCs w:val="0"/>
          <w:caps w:val="0"/>
          <w:spacing w:val="0"/>
          <w:sz w:val="24"/>
          <w:szCs w:val="24"/>
          <w:shd w:val="clear" w:color="auto" w:fill="FFFFFF"/>
          <w:lang w:val="en-US" w:eastAsia="zh-CN"/>
        </w:rPr>
        <w:t>或地质灾害评估和治理工程勘查设计甲级资质（证书均在有效期内）</w:t>
      </w:r>
      <w:r>
        <w:rPr>
          <w:rFonts w:hint="eastAsia" w:ascii="宋体" w:hAnsi="宋体" w:cs="宋体"/>
          <w:i w:val="0"/>
          <w:iCs w:val="0"/>
          <w:caps w:val="0"/>
          <w:spacing w:val="0"/>
          <w:sz w:val="24"/>
          <w:szCs w:val="24"/>
          <w:shd w:val="clear" w:color="auto" w:fill="FFFFFF"/>
          <w:lang w:val="en-US" w:eastAsia="zh-CN"/>
        </w:rPr>
        <w:t>。</w:t>
      </w:r>
    </w:p>
    <w:p w14:paraId="534CF621">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三、获取招标文件</w:t>
      </w:r>
      <w:bookmarkEnd w:id="18"/>
      <w:bookmarkEnd w:id="19"/>
      <w:bookmarkEnd w:id="20"/>
      <w:bookmarkEnd w:id="21"/>
      <w:bookmarkEnd w:id="22"/>
    </w:p>
    <w:p w14:paraId="707F7CBC">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bookmarkStart w:id="23" w:name="_Toc28359005"/>
      <w:bookmarkStart w:id="24" w:name="_Toc28359082"/>
      <w:bookmarkStart w:id="25" w:name="_Toc38985266"/>
      <w:bookmarkStart w:id="26" w:name="_Toc35393793"/>
      <w:bookmarkStart w:id="27" w:name="_Toc35393624"/>
      <w:r>
        <w:rPr>
          <w:rFonts w:hint="eastAsia" w:ascii="宋体" w:hAnsi="宋体" w:eastAsia="宋体" w:cs="宋体"/>
          <w:color w:val="auto"/>
          <w:sz w:val="24"/>
          <w:szCs w:val="24"/>
          <w:highlight w:val="none"/>
        </w:rPr>
        <w:t>1.时间：</w:t>
      </w:r>
      <w:r>
        <w:rPr>
          <w:rFonts w:hint="eastAsia" w:ascii="宋体" w:hAnsi="宋体" w:eastAsia="宋体" w:cs="宋体"/>
          <w:color w:val="auto"/>
          <w:sz w:val="24"/>
          <w:highlight w:val="none"/>
        </w:rPr>
        <w:t>自采购公告发布之日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none"/>
        </w:rPr>
        <w:t>202</w:t>
      </w:r>
      <w:r>
        <w:rPr>
          <w:rFonts w:hint="eastAsia" w:ascii="宋体" w:hAnsi="宋体" w:cs="宋体"/>
          <w:color w:val="auto"/>
          <w:sz w:val="24"/>
          <w:szCs w:val="24"/>
          <w:highlight w:val="none"/>
          <w:u w:val="none"/>
          <w:lang w:val="en-US" w:eastAsia="zh-CN"/>
        </w:rPr>
        <w:t>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1月14日</w:t>
      </w:r>
      <w:r>
        <w:rPr>
          <w:rFonts w:hint="eastAsia" w:ascii="宋体" w:hAnsi="宋体" w:eastAsia="宋体" w:cs="宋体"/>
          <w:color w:val="auto"/>
          <w:sz w:val="24"/>
          <w:szCs w:val="24"/>
          <w:highlight w:val="none"/>
        </w:rPr>
        <w:t>（北京时间）</w:t>
      </w:r>
    </w:p>
    <w:p w14:paraId="598C1530">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2.地点：“江苏政府采购网”</w:t>
      </w:r>
    </w:p>
    <w:p w14:paraId="35D4D5E7">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3.方式：凡有意参与投标的供应商须登录江苏政府采购网首页点击“苏采云”→通过CA锁进行响应确认，并自行在磋商文件有效获取期内及时下载获取。</w:t>
      </w:r>
    </w:p>
    <w:p w14:paraId="3C5FFDE4">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4.售价：免费</w:t>
      </w:r>
    </w:p>
    <w:p w14:paraId="2C6BB91F">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四、提交投标文件</w:t>
      </w:r>
      <w:bookmarkEnd w:id="23"/>
      <w:bookmarkEnd w:id="24"/>
      <w:r>
        <w:rPr>
          <w:rFonts w:hint="eastAsia" w:ascii="宋体" w:hAnsi="宋体" w:eastAsia="宋体" w:cs="宋体"/>
          <w:b/>
          <w:bCs/>
          <w:color w:val="auto"/>
          <w:sz w:val="32"/>
          <w:szCs w:val="32"/>
          <w:highlight w:val="none"/>
        </w:rPr>
        <w:t>截止时间、开标时间和地点</w:t>
      </w:r>
      <w:bookmarkEnd w:id="25"/>
      <w:bookmarkEnd w:id="26"/>
      <w:bookmarkEnd w:id="27"/>
    </w:p>
    <w:p w14:paraId="74149B7C">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bookmarkStart w:id="28" w:name="_Toc35393794"/>
      <w:bookmarkStart w:id="29" w:name="_Toc28359007"/>
      <w:bookmarkStart w:id="30" w:name="_Toc38985267"/>
      <w:bookmarkStart w:id="31" w:name="_Toc28359084"/>
      <w:bookmarkStart w:id="32" w:name="_Toc35393625"/>
      <w:r>
        <w:rPr>
          <w:rFonts w:hint="eastAsia" w:ascii="宋体" w:hAnsi="宋体" w:eastAsia="宋体" w:cs="宋体"/>
          <w:bCs/>
          <w:color w:val="auto"/>
          <w:sz w:val="24"/>
          <w:szCs w:val="24"/>
          <w:highlight w:val="none"/>
        </w:rPr>
        <w:t>1.提交投标文件截止时间、开标时间：</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1月14日</w:t>
      </w:r>
      <w:r>
        <w:rPr>
          <w:rFonts w:hint="eastAsia" w:ascii="宋体" w:hAnsi="宋体" w:eastAsia="宋体" w:cs="宋体"/>
          <w:bCs/>
          <w:color w:val="auto"/>
          <w:sz w:val="24"/>
          <w:szCs w:val="24"/>
          <w:highlight w:val="none"/>
          <w:u w:val="single"/>
        </w:rPr>
        <w:t>上午</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lang w:val="en-US" w:eastAsia="zh-CN"/>
        </w:rPr>
        <w:t>0</w:t>
      </w:r>
      <w:r>
        <w:rPr>
          <w:rFonts w:hint="eastAsia" w:ascii="宋体" w:hAnsi="宋体" w:eastAsia="宋体" w:cs="宋体"/>
          <w:bCs/>
          <w:color w:val="auto"/>
          <w:sz w:val="24"/>
          <w:szCs w:val="24"/>
          <w:highlight w:val="none"/>
          <w:u w:val="single"/>
        </w:rPr>
        <w:t>分</w:t>
      </w:r>
      <w:r>
        <w:rPr>
          <w:rFonts w:hint="eastAsia" w:ascii="宋体" w:hAnsi="宋体" w:eastAsia="宋体" w:cs="宋体"/>
          <w:color w:val="auto"/>
          <w:sz w:val="24"/>
          <w:szCs w:val="24"/>
          <w:highlight w:val="none"/>
        </w:rPr>
        <w:t>（北京时间），逾时，系统将拒绝接受上传投标文件电子文档。</w:t>
      </w:r>
    </w:p>
    <w:p w14:paraId="5964CB71">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2.地点：“苏采云”政府采购一体化平台。</w:t>
      </w:r>
    </w:p>
    <w:p w14:paraId="36277EF9">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五、公告期限</w:t>
      </w:r>
      <w:bookmarkEnd w:id="28"/>
      <w:bookmarkEnd w:id="29"/>
      <w:bookmarkEnd w:id="30"/>
      <w:bookmarkEnd w:id="31"/>
      <w:bookmarkEnd w:id="32"/>
    </w:p>
    <w:p w14:paraId="793D744C">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bookmarkStart w:id="33" w:name="_Toc35393795"/>
      <w:bookmarkStart w:id="34" w:name="_Toc38985268"/>
      <w:bookmarkStart w:id="35" w:name="_Toc35393626"/>
      <w:r>
        <w:rPr>
          <w:rFonts w:hint="eastAsia" w:ascii="宋体" w:hAnsi="宋体" w:eastAsia="宋体" w:cs="宋体"/>
          <w:color w:val="auto"/>
          <w:sz w:val="24"/>
          <w:szCs w:val="24"/>
          <w:highlight w:val="none"/>
        </w:rPr>
        <w:t>自本公告发布之日起5个工作日。</w:t>
      </w:r>
    </w:p>
    <w:p w14:paraId="0736B301">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六、其他补充事宜</w:t>
      </w:r>
      <w:bookmarkEnd w:id="33"/>
      <w:bookmarkEnd w:id="34"/>
      <w:bookmarkEnd w:id="35"/>
    </w:p>
    <w:p w14:paraId="6813A466">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1.项目开标活动模式：不见面远程开标模式</w:t>
      </w:r>
    </w:p>
    <w:p w14:paraId="78FE153A">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含潜在投标人）对采购方式、招标文件中项目需求、供应商资格条件、评标方法和评标标准、资格审查部分、合同文本等应当由采购人答复的质疑，请向采购人提出，由采购人负责答复。投标人对其他事项的质疑，请向代理机构提出，由代理机构负责答复。对在“苏采云”系统操作阶段的询问请向交易系统软件维护人员提出。</w:t>
      </w:r>
    </w:p>
    <w:p w14:paraId="02F5DB55">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依照规定提交各类声明函、承诺函，不再同时提供原件备查或提供有关部门出具的相关证明文件。但中标人应做好提交声明函、承诺函相应原件的核查准备；核查后发现虚假或违背承诺的，依照相关法律法规规定处理。</w:t>
      </w:r>
    </w:p>
    <w:p w14:paraId="43B5B432">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当天投标人应及时登录“苏采云”政府采购一体化平台，并在规定时间内自行实施远程解密。投标人解密时间限定为投标文件解密指令发出后30分钟（投标人应当充分考虑网络延时造成的本地网络计时不一致风险，提前完成解密动作）。投标人因网络、电源、浏览器不稳定、未按要求配置软硬件环境，解密锁用错或其他物理故障、操作熟练程度等自身原因，导致投标文件在规定时间内未能解密、解密失败或解密超时，相应责任由投标人自行承担；因采购人原因或网上招投标平台发生故障，导致无法按时完成投标文件解密或开、评标工作无法进行的，可根据实际情况相应延迟解密时间或调整开、评标时间。</w:t>
      </w:r>
    </w:p>
    <w:p w14:paraId="5B4B92B0">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bookmarkStart w:id="36" w:name="_Toc35393796"/>
      <w:bookmarkStart w:id="37" w:name="_Toc35393627"/>
      <w:bookmarkStart w:id="38" w:name="_Toc28359085"/>
      <w:bookmarkStart w:id="39" w:name="_Toc28359008"/>
      <w:bookmarkStart w:id="40" w:name="_Toc38985269"/>
      <w:r>
        <w:rPr>
          <w:rFonts w:hint="eastAsia" w:ascii="宋体" w:hAnsi="宋体" w:eastAsia="宋体" w:cs="宋体"/>
          <w:b/>
          <w:bCs/>
          <w:color w:val="auto"/>
          <w:sz w:val="32"/>
          <w:szCs w:val="32"/>
          <w:highlight w:val="none"/>
        </w:rPr>
        <w:t>七、</w:t>
      </w:r>
      <w:bookmarkEnd w:id="36"/>
      <w:bookmarkEnd w:id="37"/>
      <w:bookmarkEnd w:id="38"/>
      <w:bookmarkEnd w:id="39"/>
      <w:bookmarkEnd w:id="40"/>
      <w:r>
        <w:rPr>
          <w:rFonts w:hint="eastAsia" w:ascii="宋体" w:hAnsi="宋体" w:eastAsia="宋体" w:cs="宋体"/>
          <w:b/>
          <w:bCs/>
          <w:color w:val="auto"/>
          <w:sz w:val="32"/>
          <w:szCs w:val="32"/>
          <w:highlight w:val="none"/>
        </w:rPr>
        <w:t>对本次招标提出询问，请按以下方式联系</w:t>
      </w:r>
    </w:p>
    <w:p w14:paraId="6C4A6073">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E6740F0">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如东县洋口镇人民政府</w:t>
      </w:r>
    </w:p>
    <w:p w14:paraId="7CF7619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如东县洋口镇</w:t>
      </w:r>
    </w:p>
    <w:p w14:paraId="4B0144CF">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联系人：缪晓伟                      </w:t>
      </w:r>
    </w:p>
    <w:p w14:paraId="63AC4CAA">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联系方式：13862473570</w:t>
      </w:r>
    </w:p>
    <w:p w14:paraId="43D0789F">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ED0B3B9">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南通城建工程项目管理有限公司</w:t>
      </w:r>
    </w:p>
    <w:p w14:paraId="08E86229">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址：如东县</w:t>
      </w:r>
      <w:r>
        <w:rPr>
          <w:rFonts w:hint="eastAsia" w:ascii="宋体" w:hAnsi="宋体" w:eastAsia="宋体" w:cs="宋体"/>
          <w:color w:val="auto"/>
          <w:sz w:val="24"/>
          <w:szCs w:val="24"/>
          <w:highlight w:val="none"/>
          <w:lang w:val="en-US" w:eastAsia="zh-CN"/>
        </w:rPr>
        <w:t>掘港镇</w:t>
      </w:r>
    </w:p>
    <w:p w14:paraId="4C286FFF">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联系方式：18362183350</w:t>
      </w:r>
    </w:p>
    <w:p w14:paraId="3272305C">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F27A91B">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项目联系人：缪晓伟</w:t>
      </w:r>
    </w:p>
    <w:p w14:paraId="77A1F1DD">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联系方式：13862473570</w:t>
      </w:r>
    </w:p>
    <w:p w14:paraId="656AED42">
      <w:pPr>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八、其他</w:t>
      </w:r>
    </w:p>
    <w:p w14:paraId="4EA0DA35">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投标人通过苏采云系统参与政府采购项目，需要更换CA数字证书和电子签章。具体详见《江苏省政府采购管理交易系统(苏采云)供应商操作指南》（以下简称《操作指南》），《操作指南》链接：http://www.ccgp-jiangsu.gov.cn/jiangsu/zlxz/ee/ee3a4bc5a3454aa2b0d9312230633ce9.html。</w:t>
      </w:r>
    </w:p>
    <w:p w14:paraId="381E87D5">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领取CA和办理电子签章请至南通市政务服务中心裙楼四楼CA办理窗口办理，详见《江苏省政府采购数字证书(供应商)CA及电子签章办理指南》），请及时进行注册并按要求制作、上传电子投标文件。</w:t>
      </w:r>
    </w:p>
    <w:p w14:paraId="31CFE8F9">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2.有关本次招标的事项若存在变动或修改，敬请及时关注如东县公共资源代理机构在“江苏政府采购网”发布的更正公告。</w:t>
      </w:r>
    </w:p>
    <w:p w14:paraId="0F1AEA54">
      <w:pPr>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3.本次招标不收取投标保证金。</w:t>
      </w:r>
      <w:bookmarkStart w:id="41" w:name="_Toc120614211"/>
    </w:p>
    <w:p w14:paraId="4C76253C">
      <w:pPr>
        <w:ind w:right="840"/>
        <w:jc w:val="center"/>
        <w:outlineLvl w:val="0"/>
        <w:rPr>
          <w:rFonts w:hint="eastAsia" w:ascii="宋体" w:hAnsi="宋体" w:eastAsia="宋体" w:cs="宋体"/>
          <w:b/>
          <w:bCs/>
          <w:color w:val="auto"/>
          <w:sz w:val="44"/>
          <w:szCs w:val="44"/>
          <w:highlight w:val="none"/>
          <w:lang w:val="en-US" w:eastAsia="zh-CN"/>
        </w:rPr>
      </w:pPr>
      <w:bookmarkStart w:id="42" w:name="_Toc186493268"/>
    </w:p>
    <w:p w14:paraId="685F3A76">
      <w:pPr>
        <w:ind w:right="840"/>
        <w:jc w:val="center"/>
        <w:outlineLvl w:val="0"/>
        <w:rPr>
          <w:rFonts w:hint="eastAsia" w:ascii="宋体" w:hAnsi="宋体" w:eastAsia="宋体" w:cs="宋体"/>
          <w:color w:val="auto"/>
          <w:highlight w:val="none"/>
        </w:rPr>
      </w:pPr>
      <w:r>
        <w:rPr>
          <w:rFonts w:hint="eastAsia" w:ascii="宋体" w:hAnsi="宋体" w:eastAsia="宋体" w:cs="宋体"/>
          <w:b/>
          <w:bCs/>
          <w:color w:val="auto"/>
          <w:sz w:val="44"/>
          <w:szCs w:val="44"/>
          <w:highlight w:val="none"/>
        </w:rPr>
        <w:t xml:space="preserve">第二章  </w:t>
      </w:r>
      <w:bookmarkEnd w:id="1"/>
      <w:bookmarkEnd w:id="2"/>
      <w:bookmarkEnd w:id="3"/>
      <w:bookmarkEnd w:id="4"/>
      <w:bookmarkEnd w:id="5"/>
      <w:bookmarkEnd w:id="41"/>
      <w:bookmarkStart w:id="43" w:name="_Toc20823274"/>
      <w:bookmarkStart w:id="44" w:name="_Toc120614213"/>
      <w:bookmarkStart w:id="45" w:name="_Toc513029202"/>
      <w:bookmarkStart w:id="46" w:name="_Toc16938518"/>
      <w:r>
        <w:rPr>
          <w:rFonts w:hint="eastAsia" w:ascii="宋体" w:hAnsi="宋体" w:eastAsia="宋体" w:cs="宋体"/>
          <w:b/>
          <w:bCs/>
          <w:color w:val="auto"/>
          <w:sz w:val="44"/>
          <w:szCs w:val="44"/>
          <w:highlight w:val="none"/>
        </w:rPr>
        <w:t>投标人须知</w:t>
      </w:r>
      <w:bookmarkEnd w:id="42"/>
      <w:bookmarkEnd w:id="43"/>
      <w:bookmarkEnd w:id="44"/>
      <w:bookmarkEnd w:id="45"/>
      <w:bookmarkEnd w:id="46"/>
    </w:p>
    <w:p w14:paraId="14FEC11C">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32"/>
          <w:szCs w:val="32"/>
          <w:highlight w:val="none"/>
        </w:rPr>
      </w:pPr>
      <w:bookmarkStart w:id="47" w:name="_Toc16938519"/>
      <w:bookmarkStart w:id="48" w:name="_Toc20823275"/>
      <w:bookmarkStart w:id="49" w:name="_Toc513029203"/>
      <w:bookmarkStart w:id="50" w:name="_Toc120614214"/>
      <w:r>
        <w:rPr>
          <w:rFonts w:hint="eastAsia" w:ascii="宋体" w:hAnsi="宋体" w:eastAsia="宋体" w:cs="宋体"/>
          <w:b/>
          <w:bCs/>
          <w:color w:val="auto"/>
          <w:sz w:val="32"/>
          <w:szCs w:val="32"/>
          <w:highlight w:val="none"/>
        </w:rPr>
        <w:t>一、总则</w:t>
      </w:r>
      <w:bookmarkEnd w:id="47"/>
      <w:bookmarkEnd w:id="48"/>
      <w:bookmarkEnd w:id="49"/>
      <w:bookmarkEnd w:id="50"/>
    </w:p>
    <w:p w14:paraId="256695E4">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51" w:name="_Hlt16619475"/>
      <w:bookmarkEnd w:id="51"/>
      <w:bookmarkStart w:id="52" w:name="_Toc458694821"/>
      <w:bookmarkStart w:id="53" w:name="_Toc513029204"/>
      <w:bookmarkStart w:id="54" w:name="_Toc20823276"/>
      <w:bookmarkStart w:id="55" w:name="_Toc16938520"/>
      <w:r>
        <w:rPr>
          <w:rFonts w:hint="eastAsia" w:ascii="宋体" w:hAnsi="宋体" w:eastAsia="宋体" w:cs="宋体"/>
          <w:b/>
          <w:bCs/>
          <w:color w:val="auto"/>
          <w:sz w:val="28"/>
          <w:szCs w:val="28"/>
          <w:highlight w:val="none"/>
        </w:rPr>
        <w:t>1</w:t>
      </w:r>
      <w:bookmarkEnd w:id="52"/>
      <w:r>
        <w:rPr>
          <w:rFonts w:hint="eastAsia" w:ascii="宋体" w:hAnsi="宋体" w:eastAsia="宋体" w:cs="宋体"/>
          <w:b/>
          <w:bCs/>
          <w:color w:val="auto"/>
          <w:sz w:val="28"/>
          <w:szCs w:val="28"/>
          <w:highlight w:val="none"/>
        </w:rPr>
        <w:t>、招标方式</w:t>
      </w:r>
      <w:bookmarkEnd w:id="53"/>
      <w:bookmarkEnd w:id="54"/>
      <w:bookmarkEnd w:id="55"/>
    </w:p>
    <w:p w14:paraId="561D08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本次招标采取公开招标方式，本招标文件仅适用于招标公告中所述项目。</w:t>
      </w:r>
    </w:p>
    <w:p w14:paraId="215A49F2">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56" w:name="_Toc513029205"/>
      <w:bookmarkStart w:id="57" w:name="_Toc16938521"/>
      <w:bookmarkStart w:id="58" w:name="_Toc20823277"/>
      <w:r>
        <w:rPr>
          <w:rFonts w:hint="eastAsia" w:ascii="宋体" w:hAnsi="宋体" w:eastAsia="宋体" w:cs="宋体"/>
          <w:b/>
          <w:bCs/>
          <w:color w:val="auto"/>
          <w:sz w:val="28"/>
          <w:szCs w:val="28"/>
          <w:highlight w:val="none"/>
        </w:rPr>
        <w:t>2、合格的投标人</w:t>
      </w:r>
      <w:bookmarkEnd w:id="56"/>
      <w:bookmarkEnd w:id="57"/>
      <w:bookmarkEnd w:id="58"/>
    </w:p>
    <w:p w14:paraId="1B48E7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2.1满足招标公告中供应商的资格要求的规定。</w:t>
      </w:r>
    </w:p>
    <w:p w14:paraId="75D0B4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满足本文件实质性要求的规定。</w:t>
      </w:r>
    </w:p>
    <w:p w14:paraId="4ED3E948">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59" w:name="_Toc16938522"/>
      <w:bookmarkStart w:id="60" w:name="_Toc513029206"/>
      <w:bookmarkStart w:id="61" w:name="_Toc20823278"/>
      <w:r>
        <w:rPr>
          <w:rFonts w:hint="eastAsia" w:ascii="宋体" w:hAnsi="宋体" w:eastAsia="宋体" w:cs="宋体"/>
          <w:b/>
          <w:bCs/>
          <w:color w:val="auto"/>
          <w:sz w:val="28"/>
          <w:szCs w:val="28"/>
          <w:highlight w:val="none"/>
        </w:rPr>
        <w:t>3、适用法律</w:t>
      </w:r>
      <w:bookmarkEnd w:id="59"/>
      <w:bookmarkEnd w:id="60"/>
      <w:bookmarkEnd w:id="61"/>
    </w:p>
    <w:p w14:paraId="2758775E">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 本次招标及由此产生的合同受中华人民共和国有关的法律法规制约和保护。</w:t>
      </w:r>
    </w:p>
    <w:p w14:paraId="123550E5">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4、招标文件的约束力</w:t>
      </w:r>
    </w:p>
    <w:p w14:paraId="4C8CBA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5.1</w:t>
      </w:r>
      <w:r>
        <w:rPr>
          <w:rFonts w:hint="eastAsia" w:ascii="宋体" w:hAnsi="宋体" w:eastAsia="宋体" w:cs="宋体"/>
          <w:color w:val="auto"/>
          <w:sz w:val="24"/>
          <w:szCs w:val="24"/>
          <w:highlight w:val="none"/>
        </w:rPr>
        <w:t>投标人一旦参加本项目采购活动，即被认为接受了本招标文件的规定和约束。</w:t>
      </w:r>
    </w:p>
    <w:p w14:paraId="774F2106">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32"/>
          <w:szCs w:val="32"/>
          <w:highlight w:val="none"/>
        </w:rPr>
      </w:pPr>
      <w:bookmarkStart w:id="62" w:name="_Toc120614215"/>
      <w:bookmarkStart w:id="63" w:name="_Toc513029209"/>
      <w:bookmarkStart w:id="64" w:name="_Toc20823281"/>
      <w:bookmarkStart w:id="65" w:name="_Toc16938525"/>
      <w:r>
        <w:rPr>
          <w:rFonts w:hint="eastAsia" w:ascii="宋体" w:hAnsi="宋体" w:eastAsia="宋体" w:cs="宋体"/>
          <w:b/>
          <w:bCs/>
          <w:color w:val="auto"/>
          <w:sz w:val="32"/>
          <w:szCs w:val="32"/>
          <w:highlight w:val="none"/>
        </w:rPr>
        <w:t>二、招标文件</w:t>
      </w:r>
      <w:bookmarkEnd w:id="62"/>
      <w:bookmarkEnd w:id="63"/>
      <w:bookmarkEnd w:id="64"/>
      <w:bookmarkEnd w:id="65"/>
    </w:p>
    <w:p w14:paraId="09267656">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66" w:name="_Toc16938526"/>
      <w:bookmarkStart w:id="67" w:name="_Toc20823282"/>
      <w:bookmarkStart w:id="68" w:name="_Toc513029210"/>
      <w:r>
        <w:rPr>
          <w:rFonts w:hint="eastAsia" w:ascii="宋体" w:hAnsi="宋体" w:eastAsia="宋体" w:cs="宋体"/>
          <w:b/>
          <w:bCs/>
          <w:color w:val="auto"/>
          <w:sz w:val="28"/>
          <w:szCs w:val="28"/>
          <w:highlight w:val="none"/>
        </w:rPr>
        <w:t>6、招标文件构成</w:t>
      </w:r>
      <w:bookmarkEnd w:id="66"/>
      <w:bookmarkEnd w:id="67"/>
      <w:bookmarkEnd w:id="68"/>
    </w:p>
    <w:p w14:paraId="104FCE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 招标文件由以下部分组成：</w:t>
      </w:r>
    </w:p>
    <w:p w14:paraId="0EB9FEE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（1）投标邀请</w:t>
      </w:r>
    </w:p>
    <w:p w14:paraId="1EA57B32">
      <w:pPr>
        <w:pageBreakBefore w:val="0"/>
        <w:tabs>
          <w:tab w:val="center" w:pos="4476"/>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（2）投标人须知</w:t>
      </w:r>
      <w:r>
        <w:rPr>
          <w:rFonts w:hint="eastAsia" w:ascii="宋体" w:hAnsi="宋体" w:eastAsia="宋体" w:cs="宋体"/>
          <w:bCs/>
          <w:color w:val="auto"/>
          <w:sz w:val="24"/>
          <w:highlight w:val="none"/>
        </w:rPr>
        <w:tab/>
      </w:r>
    </w:p>
    <w:p w14:paraId="3AE6FD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（3）合同文本</w:t>
      </w:r>
    </w:p>
    <w:p w14:paraId="43E9DC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（4）采购需求</w:t>
      </w:r>
    </w:p>
    <w:p w14:paraId="69AF72C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（5）评标方法与评标标准</w:t>
      </w:r>
    </w:p>
    <w:p w14:paraId="6C6FFC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（6）投标文件格式</w:t>
      </w:r>
    </w:p>
    <w:p w14:paraId="42E0C8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请仔细检查招标文件是否齐全，如有缺漏请立即与代理机构联系解决。</w:t>
      </w:r>
    </w:p>
    <w:p w14:paraId="1DE6D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6.2</w:t>
      </w:r>
      <w:r>
        <w:rPr>
          <w:rFonts w:hint="eastAsia" w:ascii="宋体" w:hAnsi="宋体" w:eastAsia="宋体" w:cs="宋体"/>
          <w:color w:val="auto"/>
          <w:sz w:val="24"/>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6356A897">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69" w:name="_Toc462564070"/>
      <w:bookmarkStart w:id="70" w:name="_Toc20823283"/>
      <w:bookmarkStart w:id="71" w:name="_Toc16938527"/>
      <w:bookmarkStart w:id="72" w:name="_Toc513029211"/>
      <w:r>
        <w:rPr>
          <w:rFonts w:hint="eastAsia" w:ascii="宋体" w:hAnsi="宋体" w:eastAsia="宋体" w:cs="宋体"/>
          <w:b/>
          <w:bCs/>
          <w:color w:val="auto"/>
          <w:sz w:val="28"/>
          <w:szCs w:val="28"/>
          <w:highlight w:val="none"/>
        </w:rPr>
        <w:t>7、招标文件的澄清</w:t>
      </w:r>
      <w:bookmarkEnd w:id="69"/>
      <w:bookmarkEnd w:id="70"/>
      <w:bookmarkEnd w:id="71"/>
      <w:bookmarkEnd w:id="72"/>
    </w:p>
    <w:p w14:paraId="4240318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7.1任何要求对招标文件进行澄清的投标人，应在投标截止期十日前按招标公告中的通讯地址，以书面形式通知采购人。采购人有权对发出的招标文件进行必要的澄清或修改。</w:t>
      </w:r>
    </w:p>
    <w:p w14:paraId="5F9513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7.2采购人视情况组织答疑会。</w:t>
      </w:r>
    </w:p>
    <w:p w14:paraId="68629DA5">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73" w:name="_Toc20823284"/>
      <w:bookmarkStart w:id="74" w:name="_Toc513029212"/>
      <w:bookmarkStart w:id="75" w:name="_Toc462564071"/>
      <w:bookmarkStart w:id="76" w:name="_Toc16938528"/>
      <w:r>
        <w:rPr>
          <w:rFonts w:hint="eastAsia" w:ascii="宋体" w:hAnsi="宋体" w:eastAsia="宋体" w:cs="宋体"/>
          <w:b/>
          <w:bCs/>
          <w:color w:val="auto"/>
          <w:sz w:val="28"/>
          <w:szCs w:val="28"/>
          <w:highlight w:val="none"/>
        </w:rPr>
        <w:t>8、招标文件的修改</w:t>
      </w:r>
      <w:bookmarkEnd w:id="73"/>
      <w:bookmarkEnd w:id="74"/>
      <w:bookmarkEnd w:id="75"/>
      <w:bookmarkEnd w:id="76"/>
    </w:p>
    <w:p w14:paraId="48F0C9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8.1</w:t>
      </w:r>
      <w:r>
        <w:rPr>
          <w:rFonts w:hint="eastAsia" w:ascii="宋体" w:hAnsi="宋体" w:eastAsia="宋体" w:cs="宋体"/>
          <w:color w:val="auto"/>
          <w:sz w:val="24"/>
          <w:highlight w:val="none"/>
        </w:rPr>
        <w:t xml:space="preserve"> 在投标截止时间前，代理机构可以对招标文件进行修改。</w:t>
      </w:r>
    </w:p>
    <w:p w14:paraId="0D0070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8"/>
          <w:highlight w:val="none"/>
        </w:rPr>
      </w:pPr>
      <w:r>
        <w:rPr>
          <w:rFonts w:hint="eastAsia" w:ascii="宋体" w:hAnsi="宋体" w:eastAsia="宋体" w:cs="宋体"/>
          <w:bCs/>
          <w:color w:val="auto"/>
          <w:sz w:val="24"/>
          <w:highlight w:val="none"/>
        </w:rPr>
        <w:t xml:space="preserve">8.2 </w:t>
      </w:r>
      <w:r>
        <w:rPr>
          <w:rFonts w:hint="eastAsia" w:ascii="宋体" w:hAnsi="宋体" w:eastAsia="宋体" w:cs="宋体"/>
          <w:color w:val="auto"/>
          <w:sz w:val="24"/>
          <w:highlight w:val="none"/>
        </w:rPr>
        <w:t>代理机构</w:t>
      </w:r>
      <w:r>
        <w:rPr>
          <w:rFonts w:hint="eastAsia" w:ascii="宋体" w:hAnsi="宋体" w:eastAsia="宋体" w:cs="宋体"/>
          <w:color w:val="auto"/>
          <w:sz w:val="24"/>
          <w:szCs w:val="24"/>
          <w:highlight w:val="none"/>
        </w:rPr>
        <w:t>有权按照法定的要求</w:t>
      </w:r>
      <w:r>
        <w:rPr>
          <w:rFonts w:hint="eastAsia" w:ascii="宋体" w:hAnsi="宋体" w:eastAsia="宋体" w:cs="宋体"/>
          <w:color w:val="auto"/>
          <w:sz w:val="24"/>
          <w:highlight w:val="none"/>
        </w:rPr>
        <w:t>推迟投标截止日期和开标日期。</w:t>
      </w:r>
    </w:p>
    <w:p w14:paraId="14FF51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8.3 </w:t>
      </w:r>
      <w:r>
        <w:rPr>
          <w:rFonts w:hint="eastAsia" w:ascii="宋体" w:hAnsi="宋体" w:eastAsia="宋体" w:cs="宋体"/>
          <w:color w:val="auto"/>
          <w:sz w:val="24"/>
          <w:highlight w:val="none"/>
        </w:rPr>
        <w:t>招标文件的修改将在江苏政府采购网公布，</w:t>
      </w:r>
      <w:r>
        <w:rPr>
          <w:rFonts w:hint="eastAsia" w:ascii="宋体" w:hAnsi="宋体" w:eastAsia="宋体" w:cs="宋体"/>
          <w:color w:val="auto"/>
          <w:sz w:val="24"/>
          <w:szCs w:val="24"/>
          <w:highlight w:val="none"/>
        </w:rPr>
        <w:t>补充文件将作为招标文件的组成部分，</w:t>
      </w:r>
      <w:r>
        <w:rPr>
          <w:rFonts w:hint="eastAsia" w:ascii="宋体" w:hAnsi="宋体" w:eastAsia="宋体" w:cs="宋体"/>
          <w:color w:val="auto"/>
          <w:sz w:val="24"/>
          <w:highlight w:val="none"/>
        </w:rPr>
        <w:t>并对投标人具有约束力。</w:t>
      </w:r>
    </w:p>
    <w:p w14:paraId="62B41222">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32"/>
          <w:szCs w:val="32"/>
          <w:highlight w:val="none"/>
        </w:rPr>
      </w:pPr>
      <w:bookmarkStart w:id="77" w:name="_Toc120614216"/>
      <w:bookmarkStart w:id="78" w:name="_Toc462564072"/>
      <w:bookmarkStart w:id="79" w:name="_Toc16938529"/>
      <w:bookmarkStart w:id="80" w:name="_Toc20823285"/>
      <w:bookmarkStart w:id="81" w:name="_Toc513029213"/>
      <w:r>
        <w:rPr>
          <w:rFonts w:hint="eastAsia" w:ascii="宋体" w:hAnsi="宋体" w:eastAsia="宋体" w:cs="宋体"/>
          <w:b/>
          <w:bCs/>
          <w:color w:val="auto"/>
          <w:sz w:val="32"/>
          <w:szCs w:val="32"/>
          <w:highlight w:val="none"/>
        </w:rPr>
        <w:t>三、投标文件的编制</w:t>
      </w:r>
      <w:bookmarkEnd w:id="77"/>
      <w:bookmarkEnd w:id="78"/>
      <w:bookmarkEnd w:id="79"/>
      <w:bookmarkEnd w:id="80"/>
      <w:bookmarkEnd w:id="81"/>
    </w:p>
    <w:p w14:paraId="7E4D544B">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82" w:name="_Toc513029214"/>
      <w:bookmarkStart w:id="83" w:name="_Toc16938530"/>
      <w:bookmarkStart w:id="84" w:name="_Toc20823286"/>
      <w:bookmarkStart w:id="85" w:name="_Toc462564073"/>
      <w:r>
        <w:rPr>
          <w:rFonts w:hint="eastAsia" w:ascii="宋体" w:hAnsi="宋体" w:eastAsia="宋体" w:cs="宋体"/>
          <w:b/>
          <w:bCs/>
          <w:color w:val="auto"/>
          <w:sz w:val="28"/>
          <w:szCs w:val="28"/>
          <w:highlight w:val="none"/>
        </w:rPr>
        <w:t>9、投标文件的语言及度量衡单位</w:t>
      </w:r>
      <w:bookmarkEnd w:id="82"/>
      <w:bookmarkEnd w:id="83"/>
      <w:bookmarkEnd w:id="84"/>
      <w:bookmarkEnd w:id="85"/>
    </w:p>
    <w:p w14:paraId="3CDA41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9.1</w:t>
      </w:r>
      <w:r>
        <w:rPr>
          <w:rFonts w:hint="eastAsia" w:ascii="宋体" w:hAnsi="宋体" w:eastAsia="宋体" w:cs="宋体"/>
          <w:color w:val="auto"/>
          <w:sz w:val="24"/>
          <w:highlight w:val="none"/>
        </w:rPr>
        <w:t>投标人提交的投标文件以及投标人与代理机构就有关投标的所有来往通知、函件和文件均应使用</w:t>
      </w:r>
      <w:r>
        <w:rPr>
          <w:rFonts w:hint="eastAsia" w:ascii="宋体" w:hAnsi="宋体" w:eastAsia="宋体" w:cs="宋体"/>
          <w:b/>
          <w:bCs/>
          <w:color w:val="auto"/>
          <w:sz w:val="24"/>
          <w:highlight w:val="none"/>
        </w:rPr>
        <w:t>简体中文</w:t>
      </w:r>
      <w:r>
        <w:rPr>
          <w:rFonts w:hint="eastAsia" w:ascii="宋体" w:hAnsi="宋体" w:eastAsia="宋体" w:cs="宋体"/>
          <w:color w:val="auto"/>
          <w:sz w:val="24"/>
          <w:highlight w:val="none"/>
        </w:rPr>
        <w:t>。</w:t>
      </w:r>
    </w:p>
    <w:p w14:paraId="2DB0C4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9.2</w:t>
      </w:r>
      <w:r>
        <w:rPr>
          <w:rFonts w:hint="eastAsia" w:ascii="宋体" w:hAnsi="宋体" w:eastAsia="宋体" w:cs="宋体"/>
          <w:color w:val="auto"/>
          <w:sz w:val="24"/>
          <w:highlight w:val="none"/>
        </w:rPr>
        <w:t xml:space="preserve"> 除技术性能另有规定外，投标文件所使用的度量衡单位，均须采用国家法定计量单位。</w:t>
      </w:r>
    </w:p>
    <w:p w14:paraId="66D29101">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86" w:name="_Toc20823287"/>
      <w:bookmarkStart w:id="87" w:name="_Toc462564074"/>
      <w:bookmarkStart w:id="88" w:name="_Toc513029215"/>
      <w:bookmarkStart w:id="89" w:name="_Toc16938531"/>
      <w:r>
        <w:rPr>
          <w:rFonts w:hint="eastAsia" w:ascii="宋体" w:hAnsi="宋体" w:eastAsia="宋体" w:cs="宋体"/>
          <w:b/>
          <w:bCs/>
          <w:color w:val="auto"/>
          <w:sz w:val="28"/>
          <w:szCs w:val="28"/>
          <w:highlight w:val="none"/>
        </w:rPr>
        <w:t>10、投标文件构成</w:t>
      </w:r>
      <w:bookmarkEnd w:id="86"/>
      <w:bookmarkEnd w:id="87"/>
      <w:bookmarkEnd w:id="88"/>
      <w:bookmarkEnd w:id="89"/>
    </w:p>
    <w:p w14:paraId="7C9008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10.1投标人编写的投标文件应包括资格证明文件、实质性要求响应及偏离表、投标分项报价表、技术要求响应及偏离表、商务要求响应及偏离表、其他证明文件、投标函、开标一览表等部分。请按“第六章  投标文件格式”要求编写投标文件。</w:t>
      </w:r>
    </w:p>
    <w:p w14:paraId="7EBF26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10.2 如标书制作工具中格式和内容与“江苏政府采购网”发布的招标文件不一致，请以“江苏政府采购网”发布的招标文件为准。</w:t>
      </w:r>
    </w:p>
    <w:p w14:paraId="26196922">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90" w:name="_Hlt26668975"/>
      <w:bookmarkEnd w:id="90"/>
      <w:bookmarkStart w:id="91" w:name="_Hlt26954838"/>
      <w:bookmarkEnd w:id="91"/>
      <w:bookmarkStart w:id="92" w:name="_Hlt26670360"/>
      <w:bookmarkEnd w:id="92"/>
      <w:bookmarkStart w:id="93" w:name="_Toc513029216"/>
      <w:bookmarkStart w:id="94" w:name="_Toc513029219"/>
      <w:bookmarkStart w:id="95" w:name="_Toc49090507"/>
      <w:bookmarkStart w:id="96" w:name="_Toc49090509"/>
      <w:bookmarkStart w:id="97" w:name="_Toc14577357"/>
      <w:bookmarkStart w:id="98" w:name="_Toc14577354"/>
      <w:r>
        <w:rPr>
          <w:rFonts w:hint="eastAsia" w:ascii="宋体" w:hAnsi="宋体" w:eastAsia="宋体" w:cs="宋体"/>
          <w:b/>
          <w:bCs/>
          <w:color w:val="auto"/>
          <w:sz w:val="28"/>
          <w:szCs w:val="28"/>
          <w:highlight w:val="none"/>
        </w:rPr>
        <w:t>11、证明投标人及投标标的符合招标文件规定的文件</w:t>
      </w:r>
      <w:bookmarkEnd w:id="93"/>
      <w:bookmarkEnd w:id="94"/>
      <w:bookmarkEnd w:id="95"/>
      <w:bookmarkEnd w:id="96"/>
      <w:bookmarkEnd w:id="97"/>
      <w:bookmarkEnd w:id="98"/>
    </w:p>
    <w:p w14:paraId="3D915D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bookmarkStart w:id="99" w:name="_Toc14577355"/>
      <w:bookmarkStart w:id="100" w:name="_Toc49090508"/>
      <w:r>
        <w:rPr>
          <w:rFonts w:hint="eastAsia" w:ascii="宋体" w:hAnsi="宋体" w:eastAsia="宋体" w:cs="宋体"/>
          <w:color w:val="auto"/>
          <w:sz w:val="24"/>
          <w:highlight w:val="none"/>
        </w:rPr>
        <w:t>11.1投标人应按照法律、法规、规章和规范性文件以及招标文件要求提交证明文件，证明其及投标标的符合招标文件规定。</w:t>
      </w:r>
    </w:p>
    <w:p w14:paraId="4F7044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11.2招标文件对证明文件无明确形式要求的，证明文件可以以文字资料、图纸和数据等形式提交。</w:t>
      </w:r>
    </w:p>
    <w:p w14:paraId="1673FA70">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12、投标分项报价</w:t>
      </w:r>
      <w:bookmarkEnd w:id="99"/>
      <w:bookmarkStart w:id="101" w:name="_Hlt26670373"/>
      <w:bookmarkEnd w:id="101"/>
      <w:r>
        <w:rPr>
          <w:rFonts w:hint="eastAsia" w:ascii="宋体" w:hAnsi="宋体" w:eastAsia="宋体" w:cs="宋体"/>
          <w:b/>
          <w:bCs/>
          <w:color w:val="auto"/>
          <w:sz w:val="28"/>
          <w:szCs w:val="28"/>
          <w:highlight w:val="none"/>
        </w:rPr>
        <w:t>表</w:t>
      </w:r>
      <w:bookmarkEnd w:id="100"/>
    </w:p>
    <w:p w14:paraId="4288D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 投</w:t>
      </w:r>
      <w:bookmarkStart w:id="102" w:name="_Hlt26954840"/>
      <w:bookmarkEnd w:id="102"/>
      <w:r>
        <w:rPr>
          <w:rFonts w:hint="eastAsia" w:ascii="宋体" w:hAnsi="宋体" w:eastAsia="宋体" w:cs="宋体"/>
          <w:color w:val="auto"/>
          <w:sz w:val="24"/>
          <w:highlight w:val="none"/>
        </w:rPr>
        <w:t>标人按照招标文件规定格式填报投标分项报价表</w:t>
      </w:r>
      <w:bookmarkStart w:id="103" w:name="_Hlt26670399"/>
      <w:bookmarkEnd w:id="103"/>
      <w:r>
        <w:rPr>
          <w:rFonts w:hint="eastAsia" w:ascii="宋体" w:hAnsi="宋体" w:eastAsia="宋体" w:cs="宋体"/>
          <w:color w:val="auto"/>
          <w:sz w:val="24"/>
          <w:highlight w:val="none"/>
        </w:rPr>
        <w:t>。</w:t>
      </w:r>
    </w:p>
    <w:p w14:paraId="39E1CB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12.2投标货币。投标文件中的单价和总价无特殊规定的采用人民币报价，以元为单位标注。招标文件中另有规定的按规定执行。</w:t>
      </w:r>
    </w:p>
    <w:p w14:paraId="43967466">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04" w:name="_Hlt26670425"/>
      <w:bookmarkEnd w:id="104"/>
      <w:bookmarkStart w:id="105" w:name="_Hlt26954731"/>
      <w:bookmarkEnd w:id="105"/>
      <w:bookmarkStart w:id="106" w:name="_Hlt26670486"/>
      <w:bookmarkEnd w:id="106"/>
      <w:bookmarkStart w:id="107" w:name="_Hlt26668983"/>
      <w:bookmarkEnd w:id="107"/>
      <w:bookmarkStart w:id="108" w:name="_Hlt26954848"/>
      <w:bookmarkEnd w:id="108"/>
      <w:bookmarkStart w:id="109" w:name="_Hlt26670482"/>
      <w:bookmarkEnd w:id="109"/>
      <w:bookmarkStart w:id="110" w:name="_Hlt26954844"/>
      <w:bookmarkEnd w:id="110"/>
      <w:bookmarkStart w:id="111" w:name="_Hlt26670403"/>
      <w:bookmarkEnd w:id="111"/>
      <w:bookmarkStart w:id="112" w:name="_Hlt26954846"/>
      <w:bookmarkEnd w:id="112"/>
      <w:bookmarkStart w:id="113" w:name="_Hlt26954842"/>
      <w:bookmarkEnd w:id="113"/>
      <w:r>
        <w:rPr>
          <w:rFonts w:hint="eastAsia" w:ascii="宋体" w:hAnsi="宋体" w:eastAsia="宋体" w:cs="宋体"/>
          <w:b/>
          <w:bCs/>
          <w:color w:val="auto"/>
          <w:sz w:val="28"/>
          <w:szCs w:val="28"/>
          <w:highlight w:val="none"/>
        </w:rPr>
        <w:t>13、技术要求响应及偏离表、商务要求响应及偏离表</w:t>
      </w:r>
    </w:p>
    <w:p w14:paraId="5E7772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13.1投标人需对招标文件中的技术要求与商务要求逐项作出响应，如有偏离的，应逐条填列在偏离表中，并说明偏离情况。</w:t>
      </w:r>
    </w:p>
    <w:p w14:paraId="700972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lang w:val="zh-CN"/>
        </w:rPr>
      </w:pPr>
      <w:bookmarkStart w:id="114" w:name="_Toc49090510"/>
      <w:bookmarkStart w:id="115" w:name="_Toc14577359"/>
      <w:r>
        <w:rPr>
          <w:rFonts w:hint="eastAsia" w:ascii="宋体" w:hAnsi="宋体" w:eastAsia="宋体" w:cs="宋体"/>
          <w:color w:val="auto"/>
          <w:sz w:val="24"/>
          <w:highlight w:val="none"/>
          <w:lang w:val="zh-CN"/>
        </w:rPr>
        <w:t>13.2投标人需按照招标文件要求，在投标文件中提供与技术要求和商务要求相关的证明材料。</w:t>
      </w:r>
    </w:p>
    <w:p w14:paraId="324FD15F">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14、投标函和开标一览表</w:t>
      </w:r>
    </w:p>
    <w:p w14:paraId="031F10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rPr>
        <w:t>14.1</w:t>
      </w:r>
      <w:r>
        <w:rPr>
          <w:rFonts w:hint="eastAsia" w:ascii="宋体" w:hAnsi="宋体" w:eastAsia="宋体" w:cs="宋体"/>
          <w:color w:val="auto"/>
          <w:sz w:val="24"/>
          <w:highlight w:val="none"/>
        </w:rPr>
        <w:t xml:space="preserve"> 投标人应按照要求提供的格式完整、正确填写投标函、开标一览表。</w:t>
      </w:r>
    </w:p>
    <w:p w14:paraId="6CEFC5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14.2对于采用折扣率报价的项目，开标一览表中的投标优惠率应与投标分项报价表中的投标折扣率折算后一致，如不一致，</w:t>
      </w:r>
      <w:r>
        <w:rPr>
          <w:rFonts w:hint="eastAsia" w:ascii="宋体" w:hAnsi="宋体" w:eastAsia="宋体" w:cs="宋体"/>
          <w:b/>
          <w:bCs/>
          <w:color w:val="auto"/>
          <w:sz w:val="24"/>
          <w:highlight w:val="none"/>
        </w:rPr>
        <w:t>作为无效投标处理</w:t>
      </w:r>
      <w:r>
        <w:rPr>
          <w:rFonts w:hint="eastAsia" w:ascii="宋体" w:hAnsi="宋体" w:eastAsia="宋体" w:cs="宋体"/>
          <w:color w:val="auto"/>
          <w:sz w:val="24"/>
          <w:highlight w:val="none"/>
        </w:rPr>
        <w:t>。</w:t>
      </w:r>
      <w:bookmarkEnd w:id="114"/>
      <w:bookmarkEnd w:id="115"/>
    </w:p>
    <w:p w14:paraId="3C2FB888">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16" w:name="_Hlt26954850"/>
      <w:bookmarkEnd w:id="116"/>
      <w:bookmarkStart w:id="117" w:name="_Hlt26954734"/>
      <w:bookmarkEnd w:id="117"/>
      <w:bookmarkStart w:id="118" w:name="_Hlt26670489"/>
      <w:bookmarkEnd w:id="118"/>
      <w:bookmarkStart w:id="119" w:name="_Toc49090511"/>
      <w:bookmarkStart w:id="120" w:name="_Toc14577360"/>
      <w:r>
        <w:rPr>
          <w:rFonts w:hint="eastAsia" w:ascii="宋体" w:hAnsi="宋体" w:eastAsia="宋体" w:cs="宋体"/>
          <w:b/>
          <w:bCs/>
          <w:color w:val="auto"/>
          <w:sz w:val="28"/>
          <w:szCs w:val="28"/>
          <w:highlight w:val="none"/>
        </w:rPr>
        <w:t>15、投标有效期</w:t>
      </w:r>
      <w:bookmarkEnd w:id="119"/>
      <w:bookmarkEnd w:id="120"/>
    </w:p>
    <w:p w14:paraId="479A75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15.1</w:t>
      </w:r>
      <w:r>
        <w:rPr>
          <w:rFonts w:hint="eastAsia" w:ascii="宋体" w:hAnsi="宋体" w:eastAsia="宋体" w:cs="宋体"/>
          <w:bCs/>
          <w:color w:val="auto"/>
          <w:sz w:val="24"/>
          <w:highlight w:val="none"/>
        </w:rPr>
        <w:t xml:space="preserve"> 投标有效期为代理机构规定的开标之日后</w:t>
      </w:r>
      <w:r>
        <w:rPr>
          <w:rFonts w:hint="eastAsia" w:ascii="宋体" w:hAnsi="宋体" w:eastAsia="宋体" w:cs="宋体"/>
          <w:b/>
          <w:color w:val="auto"/>
          <w:sz w:val="24"/>
          <w:highlight w:val="none"/>
          <w:u w:val="single"/>
        </w:rPr>
        <w:t>六十（60）天</w:t>
      </w:r>
      <w:r>
        <w:rPr>
          <w:rFonts w:hint="eastAsia" w:ascii="宋体" w:hAnsi="宋体" w:eastAsia="宋体" w:cs="宋体"/>
          <w:bCs/>
          <w:color w:val="auto"/>
          <w:sz w:val="24"/>
          <w:highlight w:val="none"/>
        </w:rPr>
        <w:t>。投标有效期比规定短的将被视为未实质性响应招标文件而予以拒绝。</w:t>
      </w:r>
    </w:p>
    <w:p w14:paraId="411ADCB7">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16、投标有效期的延长</w:t>
      </w:r>
    </w:p>
    <w:p w14:paraId="14B47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bCs/>
          <w:color w:val="auto"/>
          <w:sz w:val="24"/>
          <w:highlight w:val="none"/>
        </w:rPr>
        <w:t>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rPr>
        <w:t>同意延长投标有效期的投标人既不能要求也不允许修改其投标文件</w:t>
      </w:r>
      <w:r>
        <w:rPr>
          <w:rFonts w:hint="eastAsia" w:ascii="宋体" w:hAnsi="宋体" w:eastAsia="宋体" w:cs="宋体"/>
          <w:color w:val="auto"/>
          <w:sz w:val="24"/>
          <w:szCs w:val="24"/>
          <w:highlight w:val="none"/>
        </w:rPr>
        <w:t>，同时受投标有效期约束的所有权利与义务均延长至新的有效期</w:t>
      </w:r>
      <w:r>
        <w:rPr>
          <w:rFonts w:hint="eastAsia" w:ascii="宋体" w:hAnsi="宋体" w:eastAsia="宋体" w:cs="宋体"/>
          <w:bCs/>
          <w:color w:val="auto"/>
          <w:sz w:val="24"/>
          <w:highlight w:val="none"/>
        </w:rPr>
        <w:t>。</w:t>
      </w:r>
    </w:p>
    <w:p w14:paraId="59BB9F13">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32"/>
          <w:szCs w:val="32"/>
          <w:highlight w:val="none"/>
        </w:rPr>
      </w:pPr>
      <w:bookmarkStart w:id="121" w:name="_Hlt26954852"/>
      <w:bookmarkEnd w:id="121"/>
      <w:bookmarkStart w:id="122" w:name="_Hlt26954739"/>
      <w:bookmarkEnd w:id="122"/>
      <w:bookmarkStart w:id="123" w:name="_Toc16938540"/>
      <w:bookmarkStart w:id="124" w:name="_Toc513029224"/>
      <w:bookmarkStart w:id="125" w:name="_Toc20823296"/>
      <w:bookmarkStart w:id="126" w:name="_Toc120614217"/>
      <w:r>
        <w:rPr>
          <w:rFonts w:hint="eastAsia" w:ascii="宋体" w:hAnsi="宋体" w:eastAsia="宋体" w:cs="宋体"/>
          <w:b/>
          <w:bCs/>
          <w:color w:val="auto"/>
          <w:sz w:val="32"/>
          <w:szCs w:val="32"/>
          <w:highlight w:val="none"/>
        </w:rPr>
        <w:t>四、投标文件的递交</w:t>
      </w:r>
      <w:bookmarkEnd w:id="123"/>
      <w:bookmarkEnd w:id="124"/>
      <w:bookmarkEnd w:id="125"/>
      <w:bookmarkEnd w:id="126"/>
    </w:p>
    <w:p w14:paraId="658B1AF9">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27" w:name="_Toc513029225"/>
      <w:bookmarkStart w:id="128" w:name="_Toc20823297"/>
      <w:bookmarkStart w:id="129" w:name="_Toc16938541"/>
      <w:bookmarkStart w:id="130" w:name="_Toc462564084"/>
      <w:r>
        <w:rPr>
          <w:rFonts w:hint="eastAsia" w:ascii="宋体" w:hAnsi="宋体" w:eastAsia="宋体" w:cs="宋体"/>
          <w:b/>
          <w:bCs/>
          <w:color w:val="auto"/>
          <w:sz w:val="28"/>
          <w:szCs w:val="28"/>
          <w:highlight w:val="none"/>
        </w:rPr>
        <w:t>17、投标文件</w:t>
      </w:r>
      <w:bookmarkEnd w:id="127"/>
      <w:bookmarkEnd w:id="128"/>
      <w:bookmarkEnd w:id="129"/>
      <w:bookmarkEnd w:id="130"/>
      <w:r>
        <w:rPr>
          <w:rFonts w:hint="eastAsia" w:ascii="宋体" w:hAnsi="宋体" w:eastAsia="宋体" w:cs="宋体"/>
          <w:b/>
          <w:bCs/>
          <w:color w:val="auto"/>
          <w:sz w:val="28"/>
          <w:szCs w:val="28"/>
          <w:highlight w:val="none"/>
        </w:rPr>
        <w:t>的递交</w:t>
      </w:r>
    </w:p>
    <w:p w14:paraId="24A135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17.1</w:t>
      </w:r>
      <w:r>
        <w:rPr>
          <w:rFonts w:hint="eastAsia" w:ascii="宋体" w:hAnsi="宋体" w:eastAsia="宋体" w:cs="宋体"/>
          <w:bCs/>
          <w:color w:val="auto"/>
          <w:sz w:val="24"/>
          <w:highlight w:val="none"/>
        </w:rPr>
        <w:t xml:space="preserve"> 电子投标文件的递交</w:t>
      </w:r>
    </w:p>
    <w:p w14:paraId="0512E29D">
      <w:pPr>
        <w:pStyle w:val="227"/>
        <w:pageBreakBefore w:val="0"/>
        <w:kinsoku/>
        <w:wordWrap/>
        <w:overflowPunct/>
        <w:topLinePunct w:val="0"/>
        <w:autoSpaceDE/>
        <w:autoSpaceDN/>
        <w:bidi w:val="0"/>
        <w:adjustRightInd/>
        <w:snapToGrid/>
        <w:spacing w:line="360" w:lineRule="auto"/>
        <w:ind w:left="525"/>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投标人应当按照《操作手册》规定，在投标截止时间前制作并上传电子投标文件。</w:t>
      </w:r>
      <w:bookmarkStart w:id="131" w:name="_Toc20823298"/>
      <w:bookmarkStart w:id="132" w:name="_Toc16938542"/>
      <w:bookmarkStart w:id="133" w:name="_Toc513029226"/>
    </w:p>
    <w:p w14:paraId="36126D70">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18、投标截止</w:t>
      </w:r>
      <w:bookmarkEnd w:id="131"/>
      <w:bookmarkEnd w:id="132"/>
      <w:bookmarkEnd w:id="133"/>
      <w:r>
        <w:rPr>
          <w:rFonts w:hint="eastAsia" w:ascii="宋体" w:hAnsi="宋体" w:eastAsia="宋体" w:cs="宋体"/>
          <w:b/>
          <w:bCs/>
          <w:color w:val="auto"/>
          <w:sz w:val="28"/>
          <w:szCs w:val="28"/>
          <w:highlight w:val="none"/>
        </w:rPr>
        <w:t>时间</w:t>
      </w:r>
    </w:p>
    <w:p w14:paraId="2D582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18.1</w:t>
      </w:r>
      <w:r>
        <w:rPr>
          <w:rFonts w:hint="eastAsia" w:ascii="宋体" w:hAnsi="宋体" w:eastAsia="宋体" w:cs="宋体"/>
          <w:bCs/>
          <w:color w:val="auto"/>
          <w:sz w:val="24"/>
          <w:highlight w:val="none"/>
        </w:rPr>
        <w:t>投标人上传电子投标文件的时间不得迟于招标公告中规定的投标截止时间。</w:t>
      </w:r>
    </w:p>
    <w:p w14:paraId="35E735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投标人应充分考虑到网络环境、网络带宽等风险因素，如因投标人自身原因造成的电子投标文件上传不成功的按照本招标文件第二章第26.1.2条规定做无效投标处理。</w:t>
      </w:r>
    </w:p>
    <w:p w14:paraId="6645E29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18.2</w:t>
      </w:r>
      <w:r>
        <w:rPr>
          <w:rFonts w:hint="eastAsia" w:ascii="宋体" w:hAnsi="宋体" w:eastAsia="宋体" w:cs="宋体"/>
          <w:bCs/>
          <w:color w:val="auto"/>
          <w:sz w:val="24"/>
          <w:highlight w:val="none"/>
        </w:rPr>
        <w:t>代理机构可以按照规定，通过修改招标文件酌情延长投标截止时间，在此情况下，投标人的所有权利和义务以及投标人受制的截止时间均应以延长后新的截止时间为准。</w:t>
      </w:r>
    </w:p>
    <w:p w14:paraId="6C933B54">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34" w:name="_Toc16938543"/>
      <w:bookmarkStart w:id="135" w:name="_Toc513029227"/>
      <w:bookmarkStart w:id="136" w:name="_Toc20823299"/>
      <w:r>
        <w:rPr>
          <w:rFonts w:hint="eastAsia" w:ascii="宋体" w:hAnsi="宋体" w:eastAsia="宋体" w:cs="宋体"/>
          <w:b/>
          <w:bCs/>
          <w:color w:val="auto"/>
          <w:sz w:val="28"/>
          <w:szCs w:val="28"/>
          <w:highlight w:val="none"/>
        </w:rPr>
        <w:t>19、投标文件</w:t>
      </w:r>
      <w:bookmarkEnd w:id="134"/>
      <w:bookmarkEnd w:id="135"/>
      <w:bookmarkEnd w:id="136"/>
      <w:r>
        <w:rPr>
          <w:rFonts w:hint="eastAsia" w:ascii="宋体" w:hAnsi="宋体" w:eastAsia="宋体" w:cs="宋体"/>
          <w:b/>
          <w:bCs/>
          <w:color w:val="auto"/>
          <w:sz w:val="28"/>
          <w:szCs w:val="28"/>
          <w:highlight w:val="none"/>
        </w:rPr>
        <w:t>的拒收</w:t>
      </w:r>
    </w:p>
    <w:p w14:paraId="67AE33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19.1</w:t>
      </w:r>
      <w:r>
        <w:rPr>
          <w:rFonts w:hint="eastAsia" w:ascii="宋体" w:hAnsi="宋体" w:eastAsia="宋体" w:cs="宋体"/>
          <w:bCs/>
          <w:color w:val="auto"/>
          <w:sz w:val="24"/>
          <w:highlight w:val="none"/>
        </w:rPr>
        <w:t>代理机构拒绝接收在其规定的投标截止时间后上传的任何投标文件。</w:t>
      </w:r>
    </w:p>
    <w:p w14:paraId="1DAA0989">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37" w:name="_Toc513029228"/>
      <w:bookmarkStart w:id="138" w:name="_Toc16938544"/>
      <w:bookmarkStart w:id="139" w:name="_Toc20823300"/>
      <w:r>
        <w:rPr>
          <w:rFonts w:hint="eastAsia" w:ascii="宋体" w:hAnsi="宋体" w:eastAsia="宋体" w:cs="宋体"/>
          <w:b/>
          <w:bCs/>
          <w:color w:val="auto"/>
          <w:sz w:val="28"/>
          <w:szCs w:val="28"/>
          <w:highlight w:val="none"/>
        </w:rPr>
        <w:t>20、投标文件的撤回和修改</w:t>
      </w:r>
      <w:bookmarkEnd w:id="137"/>
      <w:bookmarkEnd w:id="138"/>
      <w:bookmarkEnd w:id="139"/>
    </w:p>
    <w:p w14:paraId="00D53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投标文件的撤回</w:t>
      </w:r>
    </w:p>
    <w:p w14:paraId="68E83D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20.1.1 电子投标文件的撤回</w:t>
      </w:r>
    </w:p>
    <w:p w14:paraId="772DED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投标人可在投标截止时间前，撤回其电子投标文件，具体操作方法见《操作手册》。</w:t>
      </w:r>
    </w:p>
    <w:p w14:paraId="322777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20.1.2 投标人撤回电子投标文件，则认为其不再参与本项目投标活动。</w:t>
      </w:r>
    </w:p>
    <w:p w14:paraId="512B96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投标文件的修改</w:t>
      </w:r>
    </w:p>
    <w:p w14:paraId="3282C1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20.2.1投标人可在投标截止时间前，对其电子投标文件进行修改，具体操作方法见《操作手册》。</w:t>
      </w:r>
    </w:p>
    <w:p w14:paraId="656AB5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20.2.2</w:t>
      </w:r>
      <w:r>
        <w:rPr>
          <w:rFonts w:hint="eastAsia" w:ascii="宋体" w:hAnsi="宋体" w:eastAsia="宋体" w:cs="宋体"/>
          <w:bCs/>
          <w:color w:val="auto"/>
          <w:sz w:val="24"/>
          <w:highlight w:val="none"/>
        </w:rPr>
        <w:t xml:space="preserve"> 在投标截止时间之后，投标人不得对其电子投标文件作任何修改。</w:t>
      </w:r>
    </w:p>
    <w:p w14:paraId="701E36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20.3</w:t>
      </w:r>
      <w:r>
        <w:rPr>
          <w:rFonts w:hint="eastAsia" w:ascii="宋体" w:hAnsi="宋体" w:eastAsia="宋体" w:cs="宋体"/>
          <w:bCs/>
          <w:color w:val="auto"/>
          <w:sz w:val="24"/>
          <w:highlight w:val="none"/>
        </w:rPr>
        <w:t>在投标截止时间至招标文件中规定的投标有效期满之间的这段时间内，投标人不得撤回其投标。</w:t>
      </w:r>
    </w:p>
    <w:p w14:paraId="4B9D6C18">
      <w:pPr>
        <w:keepNext/>
        <w:keepLines/>
        <w:pageBreakBefore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sz w:val="32"/>
          <w:szCs w:val="32"/>
          <w:highlight w:val="none"/>
        </w:rPr>
      </w:pPr>
      <w:bookmarkStart w:id="140" w:name="_Toc120614218"/>
      <w:bookmarkStart w:id="141" w:name="_Toc20823301"/>
      <w:bookmarkStart w:id="142" w:name="_Toc513029229"/>
      <w:bookmarkStart w:id="143" w:name="_Toc16938545"/>
      <w:r>
        <w:rPr>
          <w:rFonts w:hint="eastAsia" w:ascii="宋体" w:hAnsi="宋体" w:eastAsia="宋体" w:cs="宋体"/>
          <w:b/>
          <w:bCs/>
          <w:color w:val="auto"/>
          <w:sz w:val="32"/>
          <w:szCs w:val="32"/>
          <w:highlight w:val="none"/>
        </w:rPr>
        <w:t>五、开标与评标</w:t>
      </w:r>
      <w:bookmarkEnd w:id="140"/>
      <w:bookmarkEnd w:id="141"/>
      <w:bookmarkEnd w:id="142"/>
      <w:bookmarkEnd w:id="143"/>
    </w:p>
    <w:p w14:paraId="386C82BD">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44" w:name="_Toc513029230"/>
      <w:bookmarkStart w:id="145" w:name="_Toc20823302"/>
      <w:bookmarkStart w:id="146" w:name="_Toc16938546"/>
      <w:r>
        <w:rPr>
          <w:rFonts w:hint="eastAsia" w:ascii="宋体" w:hAnsi="宋体" w:eastAsia="宋体" w:cs="宋体"/>
          <w:b/>
          <w:bCs/>
          <w:color w:val="auto"/>
          <w:sz w:val="28"/>
          <w:szCs w:val="28"/>
          <w:highlight w:val="none"/>
        </w:rPr>
        <w:t>21、开标</w:t>
      </w:r>
      <w:bookmarkEnd w:id="144"/>
      <w:bookmarkEnd w:id="145"/>
      <w:bookmarkEnd w:id="146"/>
    </w:p>
    <w:p w14:paraId="757CD1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21.1代理机构将在招标公告中规定的时间和地点组织公开开标。投标人应当按照《操作手册》规定，参加开标活动和在苏采云系统规定的时间内对投标文件进行解密。</w:t>
      </w:r>
    </w:p>
    <w:p w14:paraId="23A1DA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21.2开标仪式由代理机构组织。苏采云系统将自动对项目进行开标，并宣布各投标人名称和投标价格。</w:t>
      </w:r>
    </w:p>
    <w:p w14:paraId="2B53C0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21.3投标人在开标过程中涉及到的投标文件解密、开标结果确认等工作，应按照《操作手册》规定执行。</w:t>
      </w:r>
    </w:p>
    <w:p w14:paraId="72901D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21.4投标人如果对开标过程和开标记录有疑义，应当根据《操作手册》规定提出，如苏采云系统中《开标记录表》宣布后5分钟内未提出的，视同认可开标结果。</w:t>
      </w:r>
    </w:p>
    <w:p w14:paraId="0FCACB53">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47" w:name="_Toc20823303"/>
      <w:bookmarkStart w:id="148" w:name="_Toc513029231"/>
      <w:bookmarkStart w:id="149" w:name="_Toc16938547"/>
      <w:r>
        <w:rPr>
          <w:rFonts w:hint="eastAsia" w:ascii="宋体" w:hAnsi="宋体" w:eastAsia="宋体" w:cs="宋体"/>
          <w:b/>
          <w:bCs/>
          <w:color w:val="auto"/>
          <w:sz w:val="28"/>
          <w:szCs w:val="28"/>
          <w:highlight w:val="none"/>
        </w:rPr>
        <w:t>22、评标委员会</w:t>
      </w:r>
    </w:p>
    <w:p w14:paraId="3B073F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开标后，代理机构将立即组织评标委员会（以下简称评委会）进行评标。</w:t>
      </w:r>
    </w:p>
    <w:p w14:paraId="2D50531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22.2 评委会由采购人代表和有关技术、经济等方面的专家组成，且人员构成符合政府采购有关规定。</w:t>
      </w:r>
    </w:p>
    <w:p w14:paraId="62F18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22.3评委会独立工作，负责评审所有投标文件并确定中标候选人。</w:t>
      </w:r>
    </w:p>
    <w:p w14:paraId="0BA01B4E">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23、评标过程的保密与公正</w:t>
      </w:r>
      <w:bookmarkEnd w:id="147"/>
      <w:bookmarkEnd w:id="148"/>
      <w:bookmarkEnd w:id="149"/>
    </w:p>
    <w:p w14:paraId="595122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23.1公开开标后，直至向中标的投标人授予合同时止，凡是与审查、澄清、评价和比较投标的有关资料以及授标建议等，采购人、评委、代理机构均不得向投标人或与评标无关的其他人员透露。</w:t>
      </w:r>
    </w:p>
    <w:p w14:paraId="00F75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23.2在评标过程中，投标人不得以任何行为影响评标过程，否则其投标文件将被作为无效投标文件。</w:t>
      </w:r>
    </w:p>
    <w:p w14:paraId="5847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23.3在评标期间，代理机构将设专门人员与投标人联系。</w:t>
      </w:r>
    </w:p>
    <w:p w14:paraId="5C5E82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23.4代理机构和评标委员会不向未中标的投标人解释未中标原因，也不公布评标过程中的相关细节。</w:t>
      </w:r>
    </w:p>
    <w:p w14:paraId="6D3697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23.5采用综合评分法的项目，未中标的投标人可于中标结果公告期限届满之日起通过苏采云系统查看自己的评审得分及排序情况。</w:t>
      </w:r>
    </w:p>
    <w:p w14:paraId="3D0C6AAD">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50" w:name="_Toc20823304"/>
      <w:bookmarkStart w:id="151" w:name="_Toc513029232"/>
      <w:bookmarkStart w:id="152" w:name="_Toc16938548"/>
      <w:r>
        <w:rPr>
          <w:rFonts w:hint="eastAsia" w:ascii="宋体" w:hAnsi="宋体" w:eastAsia="宋体" w:cs="宋体"/>
          <w:b/>
          <w:bCs/>
          <w:color w:val="auto"/>
          <w:sz w:val="28"/>
          <w:szCs w:val="28"/>
          <w:highlight w:val="none"/>
        </w:rPr>
        <w:t>24、投标文件的澄清</w:t>
      </w:r>
      <w:bookmarkEnd w:id="150"/>
      <w:bookmarkEnd w:id="151"/>
      <w:bookmarkEnd w:id="152"/>
    </w:p>
    <w:p w14:paraId="6316FA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24.1评标期间，评委会对投标文件中含义不明确、同类问题表述不一致或者有明显文字和计算错误的内容 ，有权要求投标人作出必要的澄清、说明或者补正。</w:t>
      </w:r>
    </w:p>
    <w:p w14:paraId="039E33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投标人的澄清、说明或者补正不得超出投标文件的范围或者改变投标文件的实质性内容。</w:t>
      </w:r>
    </w:p>
    <w:p w14:paraId="03D80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评标委员会并非对每个投标人都做澄清要求。</w:t>
      </w:r>
    </w:p>
    <w:p w14:paraId="275A05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24.2需要投标人进行澄清、说明和补正的，评委会将通过苏采云系统向投标人发出“澄清要求函”，接到“澄清要求函”的投标人应当按照要求在苏采云系统中提交“澄清响应函”并加盖CA电子公章。澄清、说明和补正的内容作为投标文件的补充部分，具体操作方式见《操作手册》。</w:t>
      </w:r>
    </w:p>
    <w:p w14:paraId="53A0E7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24.3接到评委会澄清、说明和补正要求的投标人如未按规定做出澄清、说明和补正，其风险由投标人自行承担。</w:t>
      </w:r>
    </w:p>
    <w:p w14:paraId="67C3A688">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53" w:name="_Toc16938549"/>
      <w:bookmarkStart w:id="154" w:name="_Toc513029233"/>
      <w:bookmarkStart w:id="155" w:name="_Toc20823305"/>
      <w:r>
        <w:rPr>
          <w:rFonts w:hint="eastAsia" w:ascii="宋体" w:hAnsi="宋体" w:eastAsia="宋体" w:cs="宋体"/>
          <w:b/>
          <w:bCs/>
          <w:color w:val="auto"/>
          <w:sz w:val="28"/>
          <w:szCs w:val="28"/>
          <w:highlight w:val="none"/>
        </w:rPr>
        <w:t>25、对投标文件的初审</w:t>
      </w:r>
      <w:bookmarkEnd w:id="153"/>
      <w:bookmarkEnd w:id="154"/>
      <w:bookmarkEnd w:id="155"/>
    </w:p>
    <w:p w14:paraId="279764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bCs/>
          <w:color w:val="auto"/>
          <w:sz w:val="24"/>
          <w:highlight w:val="none"/>
        </w:rPr>
        <w:t>投标文件初审分为资格审查和符合性审查。</w:t>
      </w:r>
    </w:p>
    <w:p w14:paraId="03B522D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25.1.1资格审查：依据法律法规和招标文件的规定，由采购人对投标文件中的资格证明文件进行审查。资格审查的结论，采购人以书面形式向评委会进行反馈。</w:t>
      </w:r>
    </w:p>
    <w:p w14:paraId="655FD5B5">
      <w:pPr>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采购人在进行资格性审查的同时，将在“信用中国”网站（www.creditchina.gov.cn）查询投标人的信用记录，以确定投标人是否具备投标资格,查询结果留存并归档。</w:t>
      </w:r>
    </w:p>
    <w:p w14:paraId="125E9A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三个自然人、法人或者其他组织组成一个联合体，以一个供应商的身份共同参加政府采购活动的,联合体成员存在不良信用记录的，视同联合体存在不良应用记录。</w:t>
      </w:r>
    </w:p>
    <w:p w14:paraId="6FB222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25.1.2符合性审查：依据招标文件的规定，由评委会从投标文件的有效性、完整性和对招标文件的响应程度进行审查，以确定是否对招标文件的实质性要求作出响应。</w:t>
      </w:r>
    </w:p>
    <w:p w14:paraId="118B1C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25.1.3未通过资格审查或符合性审查的投标人，评标委员会将在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highlight w:val="none"/>
        </w:rPr>
        <w:t>中告知未通过资格审查或符合性审查的原因，评标结束后，评标委员会将不再告知未通过资格审查和符合性审查的原因。</w:t>
      </w:r>
    </w:p>
    <w:p w14:paraId="7C6A9CF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25.2在详细评标之前，评委会将首先审查每份投标文件是否实质性响应了招标文件的要求。实质性响应的投标应该是与招标文件要求的全部条款、条件和规格相符，没有重大偏离或保留的投标。</w:t>
      </w:r>
    </w:p>
    <w:p w14:paraId="5C6B21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谓重大偏离或保留是指与招标文件规定的实质性要求存在负偏离，或者在实质上与招标文件不一致，而且限制了合同中买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19EA3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25.3如果投标文件实质上没有响应招标文件的要求，评委会将予以拒绝，投标人不得通过修改或撤销不合要求的偏离或保留而使其投标成为实质性响应的投标。</w:t>
      </w:r>
    </w:p>
    <w:p w14:paraId="53D1EA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25.4</w:t>
      </w:r>
      <w:r>
        <w:rPr>
          <w:rFonts w:hint="eastAsia" w:ascii="宋体" w:hAnsi="宋体" w:eastAsia="宋体" w:cs="宋体"/>
          <w:bCs/>
          <w:color w:val="auto"/>
          <w:sz w:val="24"/>
          <w:highlight w:val="none"/>
        </w:rPr>
        <w:t>评委会将对确定为实质性响应的投标进行进一步审核，确定其是否有计算上或累加上的算术错误，修正错误的原则如下：</w:t>
      </w:r>
    </w:p>
    <w:p w14:paraId="3C7397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（1）大写金额和小写金额不一致的，以大写金额为准。</w:t>
      </w:r>
    </w:p>
    <w:p w14:paraId="1690AE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（2）单价金额小数点或者百分比有明显错位的，以开标一览表的总价为准，并修改单价。</w:t>
      </w:r>
    </w:p>
    <w:p w14:paraId="1D4C458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（3）总价金额与按单价汇总金额不一致的，以单价金额计算结果为准。</w:t>
      </w:r>
    </w:p>
    <w:p w14:paraId="7BE354AB">
      <w:pPr>
        <w:pageBreakBefore w:val="0"/>
        <w:kinsoku/>
        <w:wordWrap/>
        <w:overflowPunct/>
        <w:topLinePunct w:val="0"/>
        <w:autoSpaceDE/>
        <w:autoSpaceDN/>
        <w:bidi w:val="0"/>
        <w:adjustRightInd/>
        <w:snapToGrid/>
        <w:spacing w:line="360" w:lineRule="auto"/>
        <w:ind w:firstLine="72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同时出现两种以上错误的，按照前款规定的顺序修正。</w:t>
      </w:r>
    </w:p>
    <w:p w14:paraId="496AEF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25.5</w:t>
      </w:r>
      <w:r>
        <w:rPr>
          <w:rFonts w:hint="eastAsia" w:ascii="宋体" w:hAnsi="宋体" w:eastAsia="宋体" w:cs="宋体"/>
          <w:bCs/>
          <w:color w:val="auto"/>
          <w:sz w:val="24"/>
          <w:highlight w:val="none"/>
        </w:rPr>
        <w:t>评委会将按上述修正错误的方法调整投标文件中的投标报价，并通过</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highlight w:val="none"/>
        </w:rPr>
        <w:t>告知投标人，调整后的价格应对投标人具有约束力。如果投标人不接受修正后的价格，则其投标将被拒绝。</w:t>
      </w:r>
    </w:p>
    <w:p w14:paraId="241CB1FF">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25.6评委会将允许修正投标文件中不构成重大偏离的、微小的、非正规的、不一致的或不规则的地方，但这些修改不能影响任何投标人相应的名次排列。</w:t>
      </w:r>
      <w:bookmarkStart w:id="156" w:name="_Toc513029234"/>
      <w:bookmarkStart w:id="157" w:name="_Toc16938550"/>
      <w:bookmarkStart w:id="158" w:name="_Toc20823306"/>
    </w:p>
    <w:p w14:paraId="709C14BA">
      <w:pPr>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25.7投标人在开、评标全过程中应保持通讯畅通，及时登录</w:t>
      </w:r>
      <w:r>
        <w:rPr>
          <w:rFonts w:hint="eastAsia" w:ascii="宋体" w:hAnsi="宋体" w:eastAsia="宋体" w:cs="宋体"/>
          <w:color w:val="auto"/>
          <w:sz w:val="24"/>
          <w:szCs w:val="24"/>
          <w:highlight w:val="none"/>
        </w:rPr>
        <w:t>苏采云系统</w:t>
      </w:r>
      <w:r>
        <w:rPr>
          <w:rFonts w:hint="eastAsia" w:ascii="宋体" w:hAnsi="宋体" w:eastAsia="宋体" w:cs="宋体"/>
          <w:color w:val="auto"/>
          <w:sz w:val="24"/>
          <w:highlight w:val="none"/>
        </w:rPr>
        <w:t>查阅、答复相关信息，并安排专人与代理机构及评标委员会联系。</w:t>
      </w:r>
    </w:p>
    <w:p w14:paraId="0E7304CD">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26、</w:t>
      </w:r>
      <w:bookmarkEnd w:id="156"/>
      <w:bookmarkEnd w:id="157"/>
      <w:bookmarkEnd w:id="158"/>
      <w:r>
        <w:rPr>
          <w:rFonts w:hint="eastAsia" w:ascii="宋体" w:hAnsi="宋体" w:eastAsia="宋体" w:cs="宋体"/>
          <w:b/>
          <w:bCs/>
          <w:color w:val="auto"/>
          <w:sz w:val="28"/>
          <w:szCs w:val="28"/>
          <w:highlight w:val="none"/>
        </w:rPr>
        <w:t>无效投标条款和废标条款</w:t>
      </w:r>
    </w:p>
    <w:p w14:paraId="67A91E65">
      <w:pPr>
        <w:pageBreakBefore w:val="0"/>
        <w:kinsoku/>
        <w:wordWrap/>
        <w:overflowPunct/>
        <w:topLinePunct w:val="0"/>
        <w:autoSpaceDE/>
        <w:autoSpaceDN/>
        <w:bidi w:val="0"/>
        <w:adjustRightInd/>
        <w:snapToGrid/>
        <w:spacing w:line="360" w:lineRule="auto"/>
        <w:ind w:left="479"/>
        <w:textAlignment w:val="auto"/>
        <w:outlineLvl w:val="2"/>
        <w:rPr>
          <w:rFonts w:hint="eastAsia" w:ascii="宋体" w:hAnsi="宋体" w:eastAsia="宋体" w:cs="宋体"/>
          <w:bCs/>
          <w:color w:val="auto"/>
          <w:sz w:val="24"/>
          <w:highlight w:val="none"/>
        </w:rPr>
      </w:pPr>
      <w:bookmarkStart w:id="159" w:name="_Toc20823307"/>
      <w:bookmarkStart w:id="160" w:name="_Toc16938551"/>
      <w:bookmarkStart w:id="161" w:name="_Toc513029235"/>
      <w:r>
        <w:rPr>
          <w:rFonts w:hint="eastAsia" w:ascii="宋体" w:hAnsi="宋体" w:eastAsia="宋体" w:cs="宋体"/>
          <w:bCs/>
          <w:color w:val="auto"/>
          <w:sz w:val="24"/>
          <w:highlight w:val="none"/>
        </w:rPr>
        <w:t>26.1无效投标条款</w:t>
      </w:r>
    </w:p>
    <w:p w14:paraId="2C6BE1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26</w:t>
      </w:r>
      <w:r>
        <w:rPr>
          <w:rFonts w:hint="eastAsia" w:ascii="宋体" w:hAnsi="宋体" w:eastAsia="宋体" w:cs="宋体"/>
          <w:bCs/>
          <w:color w:val="auto"/>
          <w:sz w:val="24"/>
          <w:szCs w:val="24"/>
          <w:highlight w:val="none"/>
        </w:rPr>
        <w:t>.1.1 投标人在</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szCs w:val="24"/>
          <w:highlight w:val="none"/>
        </w:rPr>
        <w:t>规定的时间内未成功解密电子投标文件的。</w:t>
      </w:r>
    </w:p>
    <w:p w14:paraId="5BE86C1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26.1.2 投标人未按照招标文件要求上传电子投标文件的。</w:t>
      </w:r>
    </w:p>
    <w:p w14:paraId="6495653A">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26.1.3 投标人同一分包提交两个（含两个）以上不同的投标报价的。</w:t>
      </w:r>
    </w:p>
    <w:p w14:paraId="3D19CC5C">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26.1.4投标人不具备招标文件中规定资格要求的。</w:t>
      </w:r>
    </w:p>
    <w:p w14:paraId="1948E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26.1.5投标人的报价超过了采购预算或最高限价的。</w:t>
      </w:r>
    </w:p>
    <w:p w14:paraId="1F9E1F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i/>
          <w:color w:val="auto"/>
          <w:sz w:val="24"/>
          <w:highlight w:val="none"/>
          <w:u w:val="single"/>
        </w:rPr>
      </w:pPr>
      <w:r>
        <w:rPr>
          <w:rFonts w:hint="eastAsia" w:ascii="宋体" w:hAnsi="宋体" w:eastAsia="宋体" w:cs="宋体"/>
          <w:bCs/>
          <w:color w:val="auto"/>
          <w:sz w:val="24"/>
          <w:highlight w:val="none"/>
        </w:rPr>
        <w:t>26.1.6未通过符合性审查的。</w:t>
      </w:r>
    </w:p>
    <w:p w14:paraId="51384E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26.1.7不符合招标文件中规定的实质性要求的。</w:t>
      </w:r>
    </w:p>
    <w:p w14:paraId="44D26A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i/>
          <w:color w:val="auto"/>
          <w:sz w:val="24"/>
          <w:highlight w:val="none"/>
          <w:u w:val="single"/>
        </w:rPr>
      </w:pPr>
      <w:r>
        <w:rPr>
          <w:rFonts w:hint="eastAsia" w:ascii="宋体" w:hAnsi="宋体" w:eastAsia="宋体" w:cs="宋体"/>
          <w:color w:val="auto"/>
          <w:sz w:val="24"/>
          <w:highlight w:val="none"/>
        </w:rPr>
        <w:t>26.1.8对于采用折扣率报价的项目，开标一览表中的投标优惠率与投标分项报价表中的投标折扣率折算后不一致的。</w:t>
      </w:r>
    </w:p>
    <w:p w14:paraId="624BBF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26.1.9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0DF1425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26.1.10 投标文件含有采购人不能接受的附加条件的。</w:t>
      </w:r>
    </w:p>
    <w:p w14:paraId="33528E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26.1.11评标委员会认为投标人的报价明显低于其他通过符合性审查投标人的报价，有可能影响产品质量或者不能诚信履约的，将通过</w:t>
      </w:r>
      <w:r>
        <w:rPr>
          <w:rFonts w:hint="eastAsia" w:ascii="宋体" w:hAnsi="宋体" w:eastAsia="宋体" w:cs="宋体"/>
          <w:color w:val="auto"/>
          <w:sz w:val="24"/>
          <w:szCs w:val="24"/>
          <w:highlight w:val="none"/>
        </w:rPr>
        <w:t>苏采云系统</w:t>
      </w:r>
      <w:r>
        <w:rPr>
          <w:rFonts w:hint="eastAsia" w:ascii="宋体" w:hAnsi="宋体" w:eastAsia="宋体" w:cs="宋体"/>
          <w:bCs/>
          <w:color w:val="auto"/>
          <w:sz w:val="24"/>
          <w:highlight w:val="none"/>
        </w:rPr>
        <w:t>要求其在合理的时间内提供说明，必要时提交相关证明材料；投标人不能证明其报价合理性的，评标委员会应当将其作为无效投标处理。</w:t>
      </w:r>
    </w:p>
    <w:p w14:paraId="159217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26.1.12投标文件未按照招标文件要求加盖CA电子公章的。</w:t>
      </w:r>
    </w:p>
    <w:p w14:paraId="48496D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26.1.13其他法律、法规及本招标文件规定的属无效投标的情形。</w:t>
      </w:r>
    </w:p>
    <w:p w14:paraId="043860DC">
      <w:pPr>
        <w:pageBreakBefore w:val="0"/>
        <w:kinsoku/>
        <w:wordWrap/>
        <w:overflowPunct/>
        <w:topLinePunct w:val="0"/>
        <w:autoSpaceDE/>
        <w:autoSpaceDN/>
        <w:bidi w:val="0"/>
        <w:adjustRightInd/>
        <w:snapToGrid/>
        <w:spacing w:line="360" w:lineRule="auto"/>
        <w:ind w:left="479"/>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26.2废标条款</w:t>
      </w:r>
    </w:p>
    <w:p w14:paraId="6DC8C6D8">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26.2.1符合专业条件的投标人或者对招标文件作实质响应的投标人不足三家的。26.2.2出现影响采购公正的违法、违规行为的。</w:t>
      </w:r>
    </w:p>
    <w:p w14:paraId="63A57E6B">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26.2.3因重大变故，采购任务取消的。</w:t>
      </w:r>
    </w:p>
    <w:p w14:paraId="69852D16">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26.2.4评标委员会认定招标文件存在歧义、重大缺陷导致评审工作无法进行。</w:t>
      </w:r>
    </w:p>
    <w:p w14:paraId="17CDCCF9">
      <w:pPr>
        <w:pageBreakBefore w:val="0"/>
        <w:kinsoku/>
        <w:wordWrap/>
        <w:overflowPunct/>
        <w:topLinePunct w:val="0"/>
        <w:autoSpaceDE/>
        <w:autoSpaceDN/>
        <w:bidi w:val="0"/>
        <w:adjustRightInd/>
        <w:snapToGrid/>
        <w:spacing w:line="360" w:lineRule="auto"/>
        <w:ind w:left="479"/>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26.2.5 因</w:t>
      </w:r>
      <w:r>
        <w:rPr>
          <w:rFonts w:hint="eastAsia" w:ascii="宋体" w:hAnsi="宋体" w:eastAsia="宋体" w:cs="宋体"/>
          <w:color w:val="auto"/>
          <w:sz w:val="24"/>
          <w:szCs w:val="24"/>
          <w:highlight w:val="none"/>
        </w:rPr>
        <w:t>苏采云</w:t>
      </w:r>
      <w:r>
        <w:rPr>
          <w:rFonts w:hint="eastAsia" w:ascii="宋体" w:hAnsi="宋体" w:eastAsia="宋体" w:cs="宋体"/>
          <w:bCs/>
          <w:color w:val="auto"/>
          <w:sz w:val="24"/>
          <w:highlight w:val="none"/>
        </w:rPr>
        <w:t>系统故障原因造成开标不成功的。</w:t>
      </w:r>
    </w:p>
    <w:p w14:paraId="0A95F9F0">
      <w:pPr>
        <w:pageBreakBefore w:val="0"/>
        <w:kinsoku/>
        <w:wordWrap/>
        <w:overflowPunct/>
        <w:topLinePunct w:val="0"/>
        <w:autoSpaceDE/>
        <w:autoSpaceDN/>
        <w:bidi w:val="0"/>
        <w:adjustRightInd/>
        <w:snapToGrid/>
        <w:spacing w:line="360" w:lineRule="auto"/>
        <w:ind w:left="479"/>
        <w:textAlignment w:val="auto"/>
        <w:outlineLvl w:val="2"/>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26.3 投标截止时间结束后参加投标的供应商不足三家的处理：</w:t>
      </w:r>
    </w:p>
    <w:p w14:paraId="7F3968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26.3.1如出现投标截止时间结束后参加投标的供应商或者在评标期间对招标文件做出实质响应的供应商不足三家情况，按政府采购相关规定执行。</w:t>
      </w:r>
    </w:p>
    <w:p w14:paraId="20340FC1">
      <w:pPr>
        <w:keepNext/>
        <w:keepLines/>
        <w:pageBreakBefore w:val="0"/>
        <w:kinsoku/>
        <w:wordWrap/>
        <w:overflowPunct/>
        <w:topLinePunct w:val="0"/>
        <w:autoSpaceDE/>
        <w:autoSpaceDN/>
        <w:bidi w:val="0"/>
        <w:adjustRightInd/>
        <w:snapToGrid/>
        <w:spacing w:line="360" w:lineRule="auto"/>
        <w:ind w:firstLine="421"/>
        <w:textAlignment w:val="auto"/>
        <w:outlineLvl w:val="1"/>
        <w:rPr>
          <w:rFonts w:hint="eastAsia" w:ascii="宋体" w:hAnsi="宋体" w:eastAsia="宋体" w:cs="宋体"/>
          <w:b/>
          <w:bCs/>
          <w:color w:val="auto"/>
          <w:sz w:val="32"/>
          <w:szCs w:val="32"/>
          <w:highlight w:val="none"/>
        </w:rPr>
      </w:pPr>
      <w:bookmarkStart w:id="162" w:name="_Toc120614219"/>
      <w:r>
        <w:rPr>
          <w:rFonts w:hint="eastAsia" w:ascii="宋体" w:hAnsi="宋体" w:eastAsia="宋体" w:cs="宋体"/>
          <w:b/>
          <w:bCs/>
          <w:color w:val="auto"/>
          <w:sz w:val="32"/>
          <w:szCs w:val="32"/>
          <w:highlight w:val="none"/>
        </w:rPr>
        <w:t>六、</w:t>
      </w:r>
      <w:bookmarkEnd w:id="159"/>
      <w:bookmarkEnd w:id="160"/>
      <w:bookmarkEnd w:id="161"/>
      <w:r>
        <w:rPr>
          <w:rFonts w:hint="eastAsia" w:ascii="宋体" w:hAnsi="宋体" w:eastAsia="宋体" w:cs="宋体"/>
          <w:b/>
          <w:bCs/>
          <w:color w:val="auto"/>
          <w:sz w:val="32"/>
          <w:szCs w:val="32"/>
          <w:highlight w:val="none"/>
        </w:rPr>
        <w:t>定标</w:t>
      </w:r>
      <w:bookmarkEnd w:id="162"/>
    </w:p>
    <w:p w14:paraId="3630B6A9">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63" w:name="_Toc513029238"/>
      <w:bookmarkStart w:id="164" w:name="_Toc16938554"/>
      <w:bookmarkStart w:id="165" w:name="_Toc20823310"/>
      <w:r>
        <w:rPr>
          <w:rFonts w:hint="eastAsia" w:ascii="宋体" w:hAnsi="宋体" w:eastAsia="宋体" w:cs="宋体"/>
          <w:b/>
          <w:bCs/>
          <w:color w:val="auto"/>
          <w:sz w:val="28"/>
          <w:szCs w:val="28"/>
          <w:highlight w:val="none"/>
        </w:rPr>
        <w:t>27、</w:t>
      </w:r>
      <w:bookmarkEnd w:id="163"/>
      <w:r>
        <w:rPr>
          <w:rFonts w:hint="eastAsia" w:ascii="宋体" w:hAnsi="宋体" w:eastAsia="宋体" w:cs="宋体"/>
          <w:b/>
          <w:bCs/>
          <w:color w:val="auto"/>
          <w:sz w:val="28"/>
          <w:szCs w:val="28"/>
          <w:highlight w:val="none"/>
        </w:rPr>
        <w:t>确定</w:t>
      </w:r>
      <w:bookmarkEnd w:id="164"/>
      <w:bookmarkEnd w:id="165"/>
      <w:r>
        <w:rPr>
          <w:rFonts w:hint="eastAsia" w:ascii="宋体" w:hAnsi="宋体" w:eastAsia="宋体" w:cs="宋体"/>
          <w:b/>
          <w:bCs/>
          <w:color w:val="auto"/>
          <w:sz w:val="28"/>
          <w:szCs w:val="28"/>
          <w:highlight w:val="none"/>
        </w:rPr>
        <w:t>中标单位</w:t>
      </w:r>
    </w:p>
    <w:p w14:paraId="058AE0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27.1中标候选人的选取原则和数量见招标文件第五章规定。</w:t>
      </w:r>
    </w:p>
    <w:p w14:paraId="57CF0B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27.2 采购人委托评委会直接确定排名第一的中标候选人为中标人。</w:t>
      </w:r>
    </w:p>
    <w:p w14:paraId="7A1F51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27.3 </w:t>
      </w:r>
      <w:r>
        <w:rPr>
          <w:rFonts w:hint="eastAsia" w:ascii="宋体" w:hAnsi="宋体" w:eastAsia="宋体" w:cs="宋体"/>
          <w:color w:val="auto"/>
          <w:sz w:val="24"/>
          <w:szCs w:val="24"/>
          <w:highlight w:val="none"/>
        </w:rPr>
        <w:t>代理机构将在“江苏政府采购网”发布中标公告，公告期限为1个工作日。</w:t>
      </w:r>
    </w:p>
    <w:p w14:paraId="5E4558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27.4若有充分证据证明，中标人出现下列情况之一的，一经查实，将被取消中标资格：</w:t>
      </w:r>
    </w:p>
    <w:p w14:paraId="5384C6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27.4.1提供虚假材料谋取中标的。</w:t>
      </w:r>
    </w:p>
    <w:p w14:paraId="3A4101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27.4.2向采购人、代理机构行贿或者提供其他不正当利益的。</w:t>
      </w:r>
    </w:p>
    <w:p w14:paraId="120111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27.4.3 属于本文件规定的无效条件，但在评标过程中又未被评委会发现的。</w:t>
      </w:r>
    </w:p>
    <w:p w14:paraId="6282F1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27.4.4与采购人或者其他供应商恶意串通的。</w:t>
      </w:r>
    </w:p>
    <w:p w14:paraId="1E9FF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27.4.5采取不正当手段诋毁、排挤其他供应商的。</w:t>
      </w:r>
    </w:p>
    <w:p w14:paraId="60C3F5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bookmarkStart w:id="166" w:name="_Toc200451960"/>
      <w:r>
        <w:rPr>
          <w:rFonts w:hint="eastAsia" w:ascii="宋体" w:hAnsi="宋体" w:eastAsia="宋体" w:cs="宋体"/>
          <w:color w:val="auto"/>
          <w:sz w:val="24"/>
          <w:szCs w:val="24"/>
          <w:highlight w:val="none"/>
        </w:rPr>
        <w:t>27.5 有下列情形之一的，视为投标人串通投标，投标无效：</w:t>
      </w:r>
    </w:p>
    <w:p w14:paraId="0343416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27.5.1不同投标人的投标文件由同一单位或者个人编制。</w:t>
      </w:r>
    </w:p>
    <w:p w14:paraId="233F8A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27.5.2不同投标人委托同一单位或者个人办理投标事宜。</w:t>
      </w:r>
    </w:p>
    <w:p w14:paraId="3BDE2B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27.5.3 不同投标人的投标文件载明的项目管理成员或者联系人员为同一人。</w:t>
      </w:r>
    </w:p>
    <w:p w14:paraId="21E2E8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27.5.4不同投标人的投标文件异常一致或者投标报价呈规律性差异。</w:t>
      </w:r>
    </w:p>
    <w:p w14:paraId="46E99257">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28、质疑处理</w:t>
      </w:r>
      <w:bookmarkEnd w:id="166"/>
    </w:p>
    <w:p w14:paraId="706B83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28.1提出质疑的供应商应当是参与所质疑项目采购活动的供应商。潜在供应商依法获取其可质疑的采购文件的，可以对采购文件提出质疑。</w:t>
      </w:r>
    </w:p>
    <w:p w14:paraId="1906C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供应商认为采购文件、采购过程和采购结果使自己的权益受到损害的，可以在知道或应知其权益受到损害之日起七个工作日内，以书面形式根据下述28.4条款的规定向采购人或代理机构提出质疑。上述应知其权益受到损害之日，是指：</w:t>
      </w:r>
    </w:p>
    <w:p w14:paraId="0C1513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28.2.1对可以质疑的采购文件提出质疑的，为收到采购文件之日或者采购文件公告期限届满之日；</w:t>
      </w:r>
    </w:p>
    <w:p w14:paraId="6F61EA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28.2.2对采购过程提出质疑的，为各采购程序环节结束之日；</w:t>
      </w:r>
    </w:p>
    <w:p w14:paraId="32D8C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28.2.3对中标或者成交结果提出质疑的，为中标或者成交结果公告期限届满之日。</w:t>
      </w:r>
    </w:p>
    <w:p w14:paraId="23075A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供应商应当在法定质疑期内一次性提出针对同一采购程序环节的质疑。供应商如在法定期限内对同一采购程序环节提出多次质疑的，采购人、代理机构将只对供应商第一次质疑作出答复。</w:t>
      </w:r>
    </w:p>
    <w:p w14:paraId="43E5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质疑函必须按照本招标文件中《质疑函范本》（附件15）要求的格式和内容进行填写。供应商如组成联合体参加投标，则《质疑函范本》中要求签字、盖章、加盖公章之处，联合体各方均须按要求签字、盖章、加盖公章。</w:t>
      </w:r>
    </w:p>
    <w:p w14:paraId="7E3845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投标人（含潜在投标人）对采购方式、招标文件中采购需求、供应商资格条件、评标方法和评标标准、合同文本及资格审查结果的询问、质疑请向采购人提出，由采购人负责答复。投标人对除上述事项以外其他事项的询问、质疑请向代理机构提出，由代理机构负责答复。</w:t>
      </w:r>
    </w:p>
    <w:p w14:paraId="5AEDED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采购人及代理机构只接收以纸质原件形式送达的质疑,建议投标人尽量通过邮寄方式提交质疑（采购人和代理机构不接受无快递运单号的快递）。</w:t>
      </w:r>
    </w:p>
    <w:p w14:paraId="25B388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采购人质疑接收人及联系方式，见本招标文件第一章。</w:t>
      </w:r>
    </w:p>
    <w:p w14:paraId="005B44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代理机构质疑受理联系方式，见本招标文件第一章。</w:t>
      </w:r>
    </w:p>
    <w:p w14:paraId="7A83F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 以下情形的质疑不予受理</w:t>
      </w:r>
    </w:p>
    <w:p w14:paraId="5E7EE1F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28.5.1 内容不符合《政府采购质疑和投诉办法》第十二条规定的质疑。</w:t>
      </w:r>
    </w:p>
    <w:p w14:paraId="6D00C0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28.5.2 超出政府采购法定期限的质疑。</w:t>
      </w:r>
    </w:p>
    <w:p w14:paraId="2D7E16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28.5.3 以传真、电子邮件等方式递交的非原件形式的质疑。</w:t>
      </w:r>
    </w:p>
    <w:p w14:paraId="4F4DC2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28.5.4未参加投标活动的供应商或在投标活动中自身权益未受到损害的供应商所提出的质疑。</w:t>
      </w:r>
    </w:p>
    <w:p w14:paraId="51A9E2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28.5.5供应商组成联合体参加投标，联合体中任何一方或多方未按要求签字、盖章、加盖公章的质疑。</w:t>
      </w:r>
    </w:p>
    <w:p w14:paraId="6E6B0FA0">
      <w:pPr>
        <w:pageBreakBefore w:val="0"/>
        <w:kinsoku/>
        <w:wordWrap/>
        <w:overflowPunct/>
        <w:topLinePunct w:val="0"/>
        <w:autoSpaceDE/>
        <w:autoSpaceDN/>
        <w:bidi w:val="0"/>
        <w:adjustRightInd/>
        <w:snapToGrid/>
        <w:spacing w:line="360" w:lineRule="auto"/>
        <w:ind w:firstLine="468"/>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28.6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0E031F66">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29、中标通知书</w:t>
      </w:r>
    </w:p>
    <w:p w14:paraId="1A2D4E91">
      <w:pPr>
        <w:pageBreakBefore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l中标结果确定后，代理机构将向中标人发出中标通知书。请中标人在中标结果公告届满之日起30日内,使用CA数字证书登录苏采云系统及时下载中标通知书。因系统存储空间有限，自中标结果公告届满之日起30日后，苏采云系统不再保证提供下载中标通知书服务,因未及时下载而造成的不利后果由中标人自行承担。</w:t>
      </w:r>
    </w:p>
    <w:p w14:paraId="54CEFFF9">
      <w:pPr>
        <w:pStyle w:val="32"/>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29.2中标通知书将是合同的一个组成部分。对采购人和中标人均具有法律效力。中标通知书发出后，采购人改变中标结果的，或者中标人放弃中标项目的，应当依法承担法律责任。</w:t>
      </w:r>
    </w:p>
    <w:p w14:paraId="7CAFAE05">
      <w:pPr>
        <w:keepNext/>
        <w:keepLines/>
        <w:pageBreakBefore w:val="0"/>
        <w:kinsoku/>
        <w:wordWrap/>
        <w:overflowPunct/>
        <w:topLinePunct w:val="0"/>
        <w:autoSpaceDE/>
        <w:autoSpaceDN/>
        <w:bidi w:val="0"/>
        <w:adjustRightInd/>
        <w:snapToGrid/>
        <w:spacing w:line="360" w:lineRule="auto"/>
        <w:ind w:firstLine="421"/>
        <w:textAlignment w:val="auto"/>
        <w:outlineLvl w:val="1"/>
        <w:rPr>
          <w:rFonts w:hint="eastAsia" w:ascii="宋体" w:hAnsi="宋体" w:eastAsia="宋体" w:cs="宋体"/>
          <w:b/>
          <w:bCs/>
          <w:color w:val="auto"/>
          <w:sz w:val="32"/>
          <w:szCs w:val="32"/>
          <w:highlight w:val="none"/>
        </w:rPr>
      </w:pPr>
      <w:bookmarkStart w:id="167" w:name="_Toc20823308"/>
      <w:bookmarkStart w:id="168" w:name="_Toc120614220"/>
      <w:bookmarkStart w:id="169" w:name="_Toc513029236"/>
      <w:bookmarkStart w:id="170" w:name="_Toc16938552"/>
      <w:r>
        <w:rPr>
          <w:rFonts w:hint="eastAsia" w:ascii="宋体" w:hAnsi="宋体" w:eastAsia="宋体" w:cs="宋体"/>
          <w:b/>
          <w:bCs/>
          <w:color w:val="auto"/>
          <w:sz w:val="32"/>
          <w:szCs w:val="32"/>
          <w:highlight w:val="none"/>
        </w:rPr>
        <w:t>七、授予合同</w:t>
      </w:r>
      <w:bookmarkEnd w:id="167"/>
      <w:bookmarkEnd w:id="168"/>
      <w:bookmarkEnd w:id="169"/>
      <w:bookmarkEnd w:id="170"/>
    </w:p>
    <w:p w14:paraId="71148471">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71" w:name="_Toc16938553"/>
      <w:bookmarkStart w:id="172" w:name="_Toc513029237"/>
      <w:bookmarkStart w:id="173" w:name="_Toc20823309"/>
      <w:r>
        <w:rPr>
          <w:rFonts w:hint="eastAsia" w:ascii="宋体" w:hAnsi="宋体" w:eastAsia="宋体" w:cs="宋体"/>
          <w:b/>
          <w:bCs/>
          <w:color w:val="auto"/>
          <w:sz w:val="28"/>
          <w:szCs w:val="28"/>
          <w:highlight w:val="none"/>
        </w:rPr>
        <w:t>30、 签订合同</w:t>
      </w:r>
    </w:p>
    <w:p w14:paraId="4C4F12DE">
      <w:pPr>
        <w:pageBreakBefore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30</w:t>
      </w:r>
      <w:r>
        <w:rPr>
          <w:rFonts w:hint="eastAsia" w:ascii="宋体" w:hAnsi="宋体" w:eastAsia="宋体" w:cs="宋体"/>
          <w:color w:val="auto"/>
          <w:sz w:val="24"/>
          <w:szCs w:val="24"/>
          <w:highlight w:val="none"/>
        </w:rPr>
        <w:t>.l中标人应当在中标通知书发出之日起三十日内，按照招标文件确定的事项与采购人签订政府采购合同。</w:t>
      </w:r>
      <w:r>
        <w:rPr>
          <w:rFonts w:hint="eastAsia" w:ascii="宋体" w:hAnsi="宋体" w:eastAsia="宋体" w:cs="宋体"/>
          <w:b/>
          <w:bCs/>
          <w:color w:val="auto"/>
          <w:sz w:val="24"/>
          <w:szCs w:val="24"/>
          <w:highlight w:val="none"/>
        </w:rPr>
        <w:t>中标</w:t>
      </w:r>
      <w:r>
        <w:rPr>
          <w:rFonts w:hint="eastAsia" w:ascii="宋体" w:hAnsi="宋体" w:eastAsia="宋体" w:cs="宋体"/>
          <w:b/>
          <w:bCs/>
          <w:color w:val="auto"/>
          <w:sz w:val="24"/>
          <w:szCs w:val="24"/>
          <w:highlight w:val="none"/>
          <w:lang w:val="zh-CN"/>
        </w:rPr>
        <w:t>人应在中标结果公告之日起五个工作日内向</w:t>
      </w:r>
      <w:r>
        <w:rPr>
          <w:rFonts w:hint="eastAsia" w:ascii="宋体" w:hAnsi="宋体" w:eastAsia="宋体" w:cs="宋体"/>
          <w:b/>
          <w:bCs/>
          <w:color w:val="auto"/>
          <w:sz w:val="24"/>
          <w:szCs w:val="24"/>
          <w:highlight w:val="none"/>
        </w:rPr>
        <w:t>代理机构提供三份纸质版投标文件</w:t>
      </w:r>
      <w:r>
        <w:rPr>
          <w:rFonts w:hint="eastAsia" w:ascii="宋体" w:hAnsi="宋体" w:eastAsia="宋体" w:cs="宋体"/>
          <w:b/>
          <w:bCs/>
          <w:color w:val="auto"/>
          <w:sz w:val="24"/>
          <w:szCs w:val="24"/>
          <w:highlight w:val="none"/>
          <w:lang w:val="zh-CN"/>
        </w:rPr>
        <w:t>（须与上传电子档内容一致）</w:t>
      </w:r>
      <w:r>
        <w:rPr>
          <w:rFonts w:hint="eastAsia" w:ascii="宋体" w:hAnsi="宋体" w:eastAsia="宋体" w:cs="宋体"/>
          <w:b/>
          <w:bCs/>
          <w:color w:val="auto"/>
          <w:sz w:val="24"/>
          <w:szCs w:val="24"/>
          <w:highlight w:val="none"/>
        </w:rPr>
        <w:t>，否则不予签订合同。</w:t>
      </w:r>
    </w:p>
    <w:p w14:paraId="29743926">
      <w:pPr>
        <w:pageBreakBefore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30.2招标文件、中标人的投标文件及招标过程中有关澄清、承诺文件均应作为合同附件。</w:t>
      </w:r>
    </w:p>
    <w:p w14:paraId="66E4C63E">
      <w:pPr>
        <w:pageBreakBefore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30.3签订合同后，中标人不得将合同标的进行转包。未经采购人同意，中标人也不得采用分包的形式履行合同，否则采购人有权终止合同。转包造成采购人损失的，中标人应承担相应赔偿责任。</w:t>
      </w:r>
    </w:p>
    <w:p w14:paraId="028667CE">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31、服务（包含与服务相关的货物）的追加、减少</w:t>
      </w:r>
    </w:p>
    <w:p w14:paraId="2EF75B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31.1政府采购合同履行中，采购人需追加与合同标的相同的服务（包含与服务相关的货物），在不改变合同其他条款的前提下，可以与中标人协商签订补充合同，但所有补充合同的采购金额不超过原合同金额10%。</w:t>
      </w:r>
    </w:p>
    <w:p w14:paraId="4B22C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31.2采购结束后，采购人若由于各种客观原因，必须对采购项目所牵涉的服务进行适当的减少时，在双方协商一致的前提下，可以按照招标采购时的价格水平做相应的调减，并据此签订补充合同。</w:t>
      </w:r>
      <w:bookmarkEnd w:id="171"/>
      <w:bookmarkEnd w:id="172"/>
      <w:bookmarkEnd w:id="173"/>
    </w:p>
    <w:p w14:paraId="7CF3F003">
      <w:pPr>
        <w:keepNext/>
        <w:keepLines/>
        <w:pageBreakBefore w:val="0"/>
        <w:kinsoku/>
        <w:wordWrap/>
        <w:overflowPunct/>
        <w:topLinePunct w:val="0"/>
        <w:autoSpaceDE/>
        <w:autoSpaceDN/>
        <w:bidi w:val="0"/>
        <w:adjustRightInd/>
        <w:snapToGrid/>
        <w:spacing w:line="360" w:lineRule="auto"/>
        <w:ind w:firstLine="422"/>
        <w:textAlignment w:val="auto"/>
        <w:rPr>
          <w:rFonts w:hint="eastAsia" w:ascii="宋体" w:hAnsi="宋体" w:eastAsia="宋体" w:cs="宋体"/>
          <w:b/>
          <w:bCs/>
          <w:color w:val="auto"/>
          <w:sz w:val="28"/>
          <w:szCs w:val="28"/>
          <w:highlight w:val="none"/>
        </w:rPr>
      </w:pPr>
      <w:bookmarkStart w:id="174" w:name="_Toc20823314"/>
      <w:bookmarkStart w:id="175" w:name="_Toc16938558"/>
      <w:bookmarkStart w:id="176" w:name="_Toc120614221"/>
      <w:bookmarkStart w:id="177" w:name="_Toc479757207"/>
      <w:bookmarkStart w:id="178" w:name="_Toc513029242"/>
      <w:r>
        <w:rPr>
          <w:rFonts w:hint="eastAsia" w:ascii="宋体" w:hAnsi="宋体" w:eastAsia="宋体" w:cs="宋体"/>
          <w:b/>
          <w:bCs/>
          <w:color w:val="auto"/>
          <w:sz w:val="28"/>
          <w:szCs w:val="28"/>
          <w:highlight w:val="none"/>
        </w:rPr>
        <w:t>32、政府采购履约资金扶持政策</w:t>
      </w:r>
    </w:p>
    <w:p w14:paraId="54F0CD7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32.1根据《关于深入开展南通市政府采购线上合同信用融资工作的通知》（通财购〔2022〕68号），对政府采购中标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供应商如需获得合同信用融资支持，可凭政府采购合同办理“政采贷”融资贷款，详情请见江苏省政府采购网-政采贷专栏。</w:t>
      </w:r>
    </w:p>
    <w:p w14:paraId="477B64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32.2</w:t>
      </w:r>
      <w:r>
        <w:rPr>
          <w:rFonts w:hint="eastAsia" w:ascii="宋体" w:hAnsi="宋体" w:eastAsia="宋体" w:cs="宋体"/>
          <w:color w:val="auto"/>
          <w:sz w:val="24"/>
          <w:szCs w:val="24"/>
          <w:highlight w:val="none"/>
          <w:u w:val="none"/>
          <w:lang w:val="en-US" w:eastAsia="zh-CN"/>
        </w:rPr>
        <w:t>本项目</w:t>
      </w:r>
      <w:r>
        <w:rPr>
          <w:rFonts w:hint="eastAsia" w:ascii="宋体" w:hAnsi="宋体" w:eastAsia="宋体" w:cs="宋体"/>
          <w:color w:val="auto"/>
          <w:sz w:val="24"/>
          <w:szCs w:val="24"/>
          <w:highlight w:val="none"/>
          <w:u w:val="none"/>
        </w:rPr>
        <w:t>履约保证金</w:t>
      </w:r>
      <w:r>
        <w:rPr>
          <w:rFonts w:hint="eastAsia" w:ascii="宋体" w:hAnsi="宋体" w:cs="宋体"/>
          <w:color w:val="auto"/>
          <w:sz w:val="24"/>
          <w:szCs w:val="24"/>
          <w:highlight w:val="none"/>
          <w:u w:val="none"/>
          <w:lang w:val="en-US" w:eastAsia="zh-CN"/>
        </w:rPr>
        <w:t>/</w:t>
      </w:r>
      <w:r>
        <w:rPr>
          <w:rFonts w:hint="eastAsia" w:ascii="宋体" w:hAnsi="宋体" w:cs="宋体"/>
          <w:color w:val="auto"/>
          <w:sz w:val="24"/>
          <w:szCs w:val="24"/>
          <w:highlight w:val="none"/>
          <w:lang w:val="en-US" w:eastAsia="zh-CN"/>
        </w:rPr>
        <w:t>(本项目不收取)，</w:t>
      </w:r>
      <w:r>
        <w:rPr>
          <w:rFonts w:hint="eastAsia" w:ascii="宋体" w:hAnsi="宋体" w:eastAsia="宋体" w:cs="宋体"/>
          <w:color w:val="auto"/>
          <w:sz w:val="24"/>
          <w:szCs w:val="24"/>
          <w:highlight w:val="none"/>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ww.ccgp-jiangsu.gov.cn/jisngsu/zlxz/)。</w:t>
      </w:r>
    </w:p>
    <w:p w14:paraId="1627ACCF">
      <w:pPr>
        <w:pStyle w:val="14"/>
        <w:rPr>
          <w:rFonts w:hint="eastAsia" w:ascii="宋体" w:hAnsi="宋体" w:eastAsia="宋体" w:cs="宋体"/>
          <w:color w:val="auto"/>
          <w:highlight w:val="none"/>
        </w:rPr>
      </w:pPr>
    </w:p>
    <w:p w14:paraId="7209CA00">
      <w:pPr>
        <w:rPr>
          <w:rFonts w:hint="eastAsia" w:ascii="宋体" w:hAnsi="宋体" w:eastAsia="宋体" w:cs="宋体"/>
          <w:color w:val="auto"/>
          <w:highlight w:val="none"/>
        </w:rPr>
      </w:pPr>
    </w:p>
    <w:p w14:paraId="6AAC2B55">
      <w:pPr>
        <w:pStyle w:val="14"/>
        <w:rPr>
          <w:rFonts w:hint="eastAsia" w:ascii="宋体" w:hAnsi="宋体" w:eastAsia="宋体" w:cs="宋体"/>
          <w:color w:val="auto"/>
          <w:highlight w:val="none"/>
        </w:rPr>
      </w:pPr>
    </w:p>
    <w:p w14:paraId="4E98747F">
      <w:pPr>
        <w:rPr>
          <w:rFonts w:hint="eastAsia" w:ascii="宋体" w:hAnsi="宋体" w:eastAsia="宋体" w:cs="宋体"/>
          <w:color w:val="auto"/>
          <w:highlight w:val="none"/>
        </w:rPr>
      </w:pPr>
    </w:p>
    <w:p w14:paraId="0830882C">
      <w:pPr>
        <w:pStyle w:val="14"/>
        <w:rPr>
          <w:rFonts w:hint="eastAsia" w:ascii="宋体" w:hAnsi="宋体" w:eastAsia="宋体" w:cs="宋体"/>
          <w:color w:val="auto"/>
          <w:highlight w:val="none"/>
        </w:rPr>
      </w:pPr>
    </w:p>
    <w:p w14:paraId="34E42B08">
      <w:pPr>
        <w:rPr>
          <w:rFonts w:hint="eastAsia" w:ascii="宋体" w:hAnsi="宋体" w:eastAsia="宋体" w:cs="宋体"/>
          <w:color w:val="auto"/>
          <w:highlight w:val="none"/>
        </w:rPr>
      </w:pPr>
    </w:p>
    <w:p w14:paraId="730ECA74">
      <w:pPr>
        <w:rPr>
          <w:rFonts w:hint="eastAsia" w:ascii="宋体" w:hAnsi="宋体" w:eastAsia="宋体" w:cs="宋体"/>
          <w:color w:val="auto"/>
          <w:highlight w:val="none"/>
        </w:rPr>
      </w:pPr>
    </w:p>
    <w:p w14:paraId="1461BA96">
      <w:pPr>
        <w:pStyle w:val="14"/>
        <w:rPr>
          <w:rFonts w:hint="eastAsia" w:ascii="宋体" w:hAnsi="宋体" w:eastAsia="宋体" w:cs="宋体"/>
          <w:color w:val="auto"/>
          <w:highlight w:val="none"/>
        </w:rPr>
      </w:pPr>
    </w:p>
    <w:p w14:paraId="5E8D6F56">
      <w:pPr>
        <w:rPr>
          <w:rFonts w:hint="eastAsia" w:ascii="宋体" w:hAnsi="宋体" w:eastAsia="宋体" w:cs="宋体"/>
          <w:color w:val="auto"/>
          <w:highlight w:val="none"/>
        </w:rPr>
      </w:pPr>
    </w:p>
    <w:p w14:paraId="0D2CE5F3">
      <w:pPr>
        <w:pStyle w:val="14"/>
        <w:rPr>
          <w:rFonts w:hint="eastAsia" w:ascii="宋体" w:hAnsi="宋体" w:eastAsia="宋体" w:cs="宋体"/>
          <w:color w:val="auto"/>
          <w:highlight w:val="none"/>
        </w:rPr>
      </w:pPr>
    </w:p>
    <w:p w14:paraId="49F938CF">
      <w:pPr>
        <w:rPr>
          <w:rFonts w:hint="eastAsia" w:ascii="宋体" w:hAnsi="宋体" w:eastAsia="宋体" w:cs="宋体"/>
          <w:color w:val="auto"/>
          <w:highlight w:val="none"/>
        </w:rPr>
      </w:pPr>
    </w:p>
    <w:p w14:paraId="269371C9">
      <w:pPr>
        <w:pStyle w:val="14"/>
        <w:rPr>
          <w:rFonts w:hint="eastAsia" w:ascii="宋体" w:hAnsi="宋体" w:eastAsia="宋体" w:cs="宋体"/>
          <w:color w:val="auto"/>
          <w:highlight w:val="none"/>
        </w:rPr>
      </w:pPr>
    </w:p>
    <w:p w14:paraId="40B430CB">
      <w:pPr>
        <w:rPr>
          <w:rFonts w:hint="eastAsia" w:ascii="宋体" w:hAnsi="宋体" w:eastAsia="宋体" w:cs="宋体"/>
          <w:color w:val="auto"/>
          <w:highlight w:val="none"/>
        </w:rPr>
      </w:pPr>
    </w:p>
    <w:p w14:paraId="644A822C">
      <w:pPr>
        <w:pStyle w:val="14"/>
        <w:rPr>
          <w:rFonts w:hint="eastAsia" w:ascii="宋体" w:hAnsi="宋体" w:eastAsia="宋体" w:cs="宋体"/>
          <w:color w:val="auto"/>
          <w:highlight w:val="none"/>
        </w:rPr>
      </w:pPr>
    </w:p>
    <w:p w14:paraId="69CE3494">
      <w:pPr>
        <w:rPr>
          <w:rFonts w:hint="eastAsia" w:ascii="宋体" w:hAnsi="宋体" w:eastAsia="宋体" w:cs="宋体"/>
          <w:color w:val="auto"/>
          <w:highlight w:val="none"/>
        </w:rPr>
      </w:pPr>
    </w:p>
    <w:bookmarkEnd w:id="174"/>
    <w:bookmarkEnd w:id="175"/>
    <w:bookmarkEnd w:id="176"/>
    <w:bookmarkEnd w:id="177"/>
    <w:bookmarkEnd w:id="178"/>
    <w:p w14:paraId="5F00A864">
      <w:pPr>
        <w:rPr>
          <w:rFonts w:hint="eastAsia" w:ascii="宋体" w:hAnsi="宋体" w:eastAsia="宋体" w:cs="宋体"/>
          <w:b/>
          <w:color w:val="auto"/>
          <w:sz w:val="44"/>
          <w:highlight w:val="none"/>
        </w:rPr>
      </w:pPr>
    </w:p>
    <w:p w14:paraId="3D602941">
      <w:pPr>
        <w:pStyle w:val="19"/>
        <w:spacing w:before="120" w:after="120" w:line="0" w:lineRule="atLeast"/>
        <w:outlineLvl w:val="0"/>
        <w:rPr>
          <w:rFonts w:hint="eastAsia" w:ascii="宋体" w:hAnsi="宋体" w:eastAsia="宋体" w:cs="宋体"/>
          <w:b/>
          <w:color w:val="auto"/>
          <w:sz w:val="44"/>
          <w:highlight w:val="none"/>
        </w:rPr>
      </w:pPr>
      <w:bookmarkStart w:id="179" w:name="_Toc120614244"/>
      <w:bookmarkStart w:id="180" w:name="_Toc20823346"/>
      <w:bookmarkStart w:id="181" w:name="_Toc16938590"/>
      <w:bookmarkStart w:id="182" w:name="_Toc479757211"/>
      <w:bookmarkStart w:id="183" w:name="_Toc462564139"/>
    </w:p>
    <w:p w14:paraId="55BE927B">
      <w:pPr>
        <w:pStyle w:val="19"/>
        <w:spacing w:before="120" w:after="120" w:line="0" w:lineRule="atLeast"/>
        <w:ind w:firstLine="2650"/>
        <w:outlineLvl w:val="0"/>
        <w:rPr>
          <w:rFonts w:hint="eastAsia" w:ascii="宋体" w:hAnsi="宋体" w:eastAsia="宋体" w:cs="宋体"/>
          <w:b/>
          <w:color w:val="auto"/>
          <w:sz w:val="44"/>
          <w:highlight w:val="none"/>
        </w:rPr>
        <w:sectPr>
          <w:footerReference r:id="rId5"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docGrid w:linePitch="360" w:charSpace="0"/>
        </w:sectPr>
      </w:pPr>
    </w:p>
    <w:p w14:paraId="3971ECAA">
      <w:pPr>
        <w:pStyle w:val="19"/>
        <w:spacing w:before="120" w:after="120" w:line="0" w:lineRule="atLeast"/>
        <w:ind w:firstLine="2650"/>
        <w:outlineLvl w:val="0"/>
        <w:rPr>
          <w:rFonts w:hint="eastAsia" w:ascii="宋体" w:hAnsi="宋体" w:eastAsia="宋体" w:cs="宋体"/>
          <w:b/>
          <w:color w:val="auto"/>
          <w:sz w:val="44"/>
          <w:highlight w:val="yellow"/>
        </w:rPr>
      </w:pPr>
      <w:bookmarkStart w:id="184" w:name="_Toc186493269"/>
      <w:r>
        <w:rPr>
          <w:rFonts w:hint="eastAsia" w:ascii="宋体" w:hAnsi="宋体" w:eastAsia="宋体" w:cs="宋体"/>
          <w:b/>
          <w:color w:val="auto"/>
          <w:sz w:val="44"/>
          <w:highlight w:val="none"/>
        </w:rPr>
        <w:t>第三章 采购需求</w:t>
      </w:r>
      <w:bookmarkEnd w:id="179"/>
      <w:bookmarkEnd w:id="180"/>
      <w:bookmarkEnd w:id="181"/>
      <w:bookmarkEnd w:id="184"/>
    </w:p>
    <w:p w14:paraId="395D640D">
      <w:pPr>
        <w:pStyle w:val="2"/>
        <w:pageBreakBefore w:val="0"/>
        <w:wordWrap/>
        <w:overflowPunct/>
        <w:topLinePunct w:val="0"/>
        <w:bidi w:val="0"/>
        <w:spacing w:before="0" w:after="0" w:line="360" w:lineRule="auto"/>
        <w:jc w:val="left"/>
        <w:rPr>
          <w:rFonts w:hint="eastAsia" w:ascii="宋体" w:hAnsi="宋体" w:eastAsia="宋体" w:cs="宋体"/>
          <w:b/>
          <w:bCs/>
          <w:color w:val="auto"/>
          <w:sz w:val="24"/>
          <w:szCs w:val="24"/>
          <w:highlight w:val="none"/>
          <w:lang w:eastAsia="zh-CN"/>
        </w:rPr>
      </w:pPr>
      <w:bookmarkStart w:id="185" w:name="_Toc49090575"/>
      <w:bookmarkStart w:id="186" w:name="_Toc26554093"/>
      <w:bookmarkStart w:id="187" w:name="_Toc120614281"/>
      <w:r>
        <w:rPr>
          <w:rFonts w:hint="eastAsia" w:ascii="宋体" w:hAnsi="宋体" w:eastAsia="宋体" w:cs="宋体"/>
          <w:b/>
          <w:bCs/>
          <w:color w:val="auto"/>
          <w:sz w:val="24"/>
          <w:szCs w:val="24"/>
          <w:highlight w:val="none"/>
        </w:rPr>
        <w:t>一、项目</w:t>
      </w:r>
      <w:r>
        <w:rPr>
          <w:rFonts w:hint="eastAsia" w:ascii="宋体" w:hAnsi="宋体" w:eastAsia="宋体" w:cs="宋体"/>
          <w:b/>
          <w:bCs/>
          <w:color w:val="auto"/>
          <w:sz w:val="24"/>
          <w:szCs w:val="24"/>
          <w:highlight w:val="none"/>
          <w:lang w:val="en-US" w:eastAsia="zh-CN"/>
        </w:rPr>
        <w:t>概况</w:t>
      </w:r>
    </w:p>
    <w:p w14:paraId="57D6448F">
      <w:pPr>
        <w:pStyle w:val="231"/>
        <w:spacing w:line="360" w:lineRule="auto"/>
        <w:ind w:firstLine="566" w:firstLineChars="236"/>
        <w:rPr>
          <w:rFonts w:hAnsi="宋体"/>
          <w:color w:val="auto"/>
        </w:rPr>
      </w:pPr>
      <w:bookmarkStart w:id="188" w:name="_Hlk214554512"/>
      <w:r>
        <w:rPr>
          <w:rFonts w:hint="eastAsia" w:ascii="宋体" w:hAnsi="宋体" w:eastAsia="宋体"/>
          <w:sz w:val="24"/>
          <w:szCs w:val="24"/>
        </w:rPr>
        <w:t>本项目为园区地质灾害危险性区域评估项目，评估面积约</w:t>
      </w:r>
      <w:r>
        <w:rPr>
          <w:rFonts w:ascii="宋体" w:hAnsi="宋体" w:eastAsia="宋体"/>
          <w:sz w:val="24"/>
          <w:szCs w:val="24"/>
        </w:rPr>
        <w:t>27.46</w:t>
      </w:r>
      <w:r>
        <w:rPr>
          <w:rFonts w:hint="eastAsia" w:ascii="宋体" w:hAnsi="宋体" w:eastAsia="宋体"/>
          <w:bCs/>
          <w:sz w:val="24"/>
          <w:szCs w:val="24"/>
        </w:rPr>
        <w:t>km</w:t>
      </w:r>
      <w:r>
        <w:rPr>
          <w:rFonts w:hint="eastAsia" w:ascii="宋体" w:hAnsi="宋体" w:eastAsia="宋体"/>
          <w:bCs/>
          <w:sz w:val="24"/>
          <w:szCs w:val="24"/>
          <w:vertAlign w:val="superscript"/>
        </w:rPr>
        <w:t>2</w:t>
      </w:r>
      <w:r>
        <w:rPr>
          <w:rFonts w:hint="eastAsia" w:ascii="宋体" w:hAnsi="宋体" w:eastAsia="宋体"/>
          <w:bCs/>
          <w:sz w:val="24"/>
          <w:szCs w:val="24"/>
        </w:rPr>
        <w:t>。</w:t>
      </w:r>
      <w:r>
        <w:rPr>
          <w:rFonts w:ascii="宋体" w:hAnsi="宋体" w:eastAsia="宋体"/>
          <w:sz w:val="24"/>
          <w:szCs w:val="24"/>
        </w:rPr>
        <w:t>供应商负责对本项目进行地质灾害危险性区域评估，并建立区域评估成果查询系统，以简化建设项目评估程序和降低成本，提高用地审批效率，更好地服务区内项目建设</w:t>
      </w:r>
      <w:bookmarkEnd w:id="188"/>
      <w:r>
        <w:rPr>
          <w:rFonts w:hAnsi="宋体"/>
          <w:color w:val="auto"/>
        </w:rPr>
        <w:t>。</w:t>
      </w:r>
    </w:p>
    <w:p w14:paraId="4D6C5F4F">
      <w:pPr>
        <w:pStyle w:val="2"/>
        <w:pageBreakBefore w:val="0"/>
        <w:wordWrap/>
        <w:overflowPunct/>
        <w:topLinePunct w:val="0"/>
        <w:bidi w:val="0"/>
        <w:spacing w:before="0" w:after="0"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b/>
          <w:sz w:val="24"/>
          <w:szCs w:val="24"/>
        </w:rPr>
        <w:t>评估依据、标准</w:t>
      </w:r>
    </w:p>
    <w:p w14:paraId="39B54B8B">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1.《地质灾害防治条例》（国务院令第394号）；</w:t>
      </w:r>
    </w:p>
    <w:p w14:paraId="7B1FF81F">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2.《国土资源部关于加强地质灾害危险性评估工作的通知》（国土资发〔2004〕69号）；</w:t>
      </w:r>
    </w:p>
    <w:p w14:paraId="147EBB4B">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3.《江苏省地质环境保护条例》（江苏省第十一届人民代表大会常务委员会公告第4号）；</w:t>
      </w:r>
    </w:p>
    <w:p w14:paraId="5CE3F3CD">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4.《关于印发“江苏省地质灾害危险性评估技术要求”的通知》（苏国土资发〔2010〕353号）；</w:t>
      </w:r>
    </w:p>
    <w:p w14:paraId="300CEB39">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5.《关于加强地质灾害危险性评估工作管理的意见》（苏国土资发〔2011〕216号）；</w:t>
      </w:r>
    </w:p>
    <w:p w14:paraId="7AA8A4D2">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6.《地质灾害危险性评估规范》（GB/T 40112-2021）；</w:t>
      </w:r>
    </w:p>
    <w:p w14:paraId="32C8188E">
      <w:pPr>
        <w:widowControl/>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7.《江苏省国土资源厅关于印发江苏省“三区”地质灾害危险性区域评估试点工作方案的通知》（苏国土资发〔2016〕144号）；</w:t>
      </w:r>
    </w:p>
    <w:p w14:paraId="4162DAA0">
      <w:pPr>
        <w:tabs>
          <w:tab w:val="left" w:pos="945"/>
        </w:tabs>
        <w:adjustRightInd w:val="0"/>
        <w:snapToGrid w:val="0"/>
        <w:spacing w:line="360" w:lineRule="auto"/>
        <w:ind w:firstLine="480" w:firstLineChars="200"/>
        <w:outlineLvl w:val="0"/>
        <w:rPr>
          <w:rFonts w:ascii="宋体" w:hAnsi="宋体" w:eastAsia="宋体"/>
          <w:bCs/>
          <w:sz w:val="24"/>
          <w:szCs w:val="24"/>
        </w:rPr>
      </w:pPr>
      <w:bookmarkStart w:id="189" w:name="_Toc110254018"/>
      <w:r>
        <w:rPr>
          <w:rFonts w:hint="eastAsia" w:ascii="宋体" w:hAnsi="宋体" w:eastAsia="宋体"/>
          <w:bCs/>
          <w:sz w:val="24"/>
          <w:szCs w:val="24"/>
        </w:rPr>
        <w:t>8.其他相关法律法规和行业规范。</w:t>
      </w:r>
      <w:bookmarkEnd w:id="189"/>
    </w:p>
    <w:p w14:paraId="0869FA34">
      <w:pPr>
        <w:tabs>
          <w:tab w:val="left" w:pos="945"/>
        </w:tabs>
        <w:adjustRightInd w:val="0"/>
        <w:snapToGrid w:val="0"/>
        <w:spacing w:line="360" w:lineRule="auto"/>
        <w:ind w:firstLine="480" w:firstLineChars="200"/>
        <w:outlineLvl w:val="0"/>
        <w:rPr>
          <w:rFonts w:hint="eastAsia" w:ascii="宋体" w:hAnsi="宋体" w:eastAsia="宋体"/>
          <w:bCs/>
          <w:sz w:val="24"/>
          <w:szCs w:val="24"/>
        </w:rPr>
      </w:pPr>
      <w:bookmarkStart w:id="190" w:name="_Toc110254019"/>
      <w:r>
        <w:rPr>
          <w:rFonts w:hint="eastAsia" w:ascii="宋体" w:hAnsi="宋体" w:eastAsia="宋体"/>
          <w:bCs/>
          <w:sz w:val="24"/>
          <w:szCs w:val="24"/>
        </w:rPr>
        <w:t>以上标准的采用并非是全面以及最新的，如有不一致的，以效力较高或技术标准较高的文件规定为准。</w:t>
      </w:r>
      <w:bookmarkEnd w:id="190"/>
    </w:p>
    <w:p w14:paraId="64B05AB4">
      <w:pPr>
        <w:tabs>
          <w:tab w:val="left" w:pos="945"/>
        </w:tabs>
        <w:adjustRightInd w:val="0"/>
        <w:snapToGrid w:val="0"/>
        <w:spacing w:line="360" w:lineRule="auto"/>
        <w:ind w:firstLine="480" w:firstLineChars="200"/>
        <w:outlineLvl w:val="0"/>
        <w:rPr>
          <w:rFonts w:ascii="宋体" w:hAnsi="宋体" w:eastAsia="宋体"/>
          <w:b/>
          <w:sz w:val="24"/>
          <w:szCs w:val="24"/>
        </w:rPr>
      </w:pPr>
      <w:bookmarkStart w:id="191" w:name="_Toc110254020"/>
      <w:r>
        <w:rPr>
          <w:rFonts w:hint="eastAsia" w:ascii="宋体" w:hAnsi="宋体" w:eastAsia="宋体"/>
          <w:b/>
          <w:sz w:val="24"/>
          <w:szCs w:val="24"/>
        </w:rPr>
        <w:t>三、具体服务内容及要求</w:t>
      </w:r>
      <w:bookmarkEnd w:id="191"/>
    </w:p>
    <w:p w14:paraId="5C94A5F9">
      <w:pPr>
        <w:spacing w:line="360" w:lineRule="auto"/>
        <w:ind w:left="-1" w:firstLine="480" w:firstLineChars="200"/>
        <w:jc w:val="left"/>
        <w:rPr>
          <w:rFonts w:ascii="宋体" w:hAnsi="宋体" w:eastAsia="宋体"/>
          <w:b/>
          <w:sz w:val="24"/>
          <w:szCs w:val="24"/>
        </w:rPr>
      </w:pPr>
      <w:bookmarkStart w:id="192" w:name="OLE_LINK34"/>
      <w:bookmarkStart w:id="193" w:name="OLE_LINK67"/>
      <w:bookmarkStart w:id="194" w:name="OLE_LINK68"/>
      <w:r>
        <w:rPr>
          <w:rFonts w:hint="eastAsia" w:ascii="宋体" w:hAnsi="宋体" w:eastAsia="宋体"/>
          <w:b/>
          <w:sz w:val="24"/>
          <w:szCs w:val="24"/>
        </w:rPr>
        <w:t>1.项目背景</w:t>
      </w:r>
    </w:p>
    <w:p w14:paraId="4DB02197">
      <w:pPr>
        <w:adjustRightInd w:val="0"/>
        <w:snapToGrid w:val="0"/>
        <w:spacing w:line="360" w:lineRule="auto"/>
        <w:ind w:firstLine="480" w:firstLineChars="200"/>
        <w:jc w:val="left"/>
        <w:rPr>
          <w:rFonts w:ascii="宋体" w:hAnsi="宋体" w:eastAsia="宋体"/>
          <w:bCs/>
          <w:sz w:val="24"/>
          <w:szCs w:val="24"/>
        </w:rPr>
      </w:pPr>
      <w:r>
        <w:rPr>
          <w:rFonts w:hint="eastAsia" w:ascii="宋体" w:hAnsi="宋体" w:eastAsia="宋体"/>
          <w:bCs/>
          <w:sz w:val="24"/>
          <w:szCs w:val="24"/>
        </w:rPr>
        <w:t>本项目位于如东县洋口镇，主要对园区进行地质灾害危险性区域评估，评估面积约</w:t>
      </w:r>
      <w:r>
        <w:rPr>
          <w:rFonts w:ascii="宋体" w:hAnsi="宋体" w:eastAsia="宋体"/>
          <w:bCs/>
          <w:sz w:val="24"/>
          <w:szCs w:val="24"/>
        </w:rPr>
        <w:t>27.46</w:t>
      </w:r>
      <w:r>
        <w:rPr>
          <w:rFonts w:hint="eastAsia" w:ascii="宋体" w:hAnsi="宋体" w:eastAsia="宋体"/>
          <w:bCs/>
          <w:sz w:val="24"/>
          <w:szCs w:val="24"/>
        </w:rPr>
        <w:t>km</w:t>
      </w:r>
      <w:r>
        <w:rPr>
          <w:rFonts w:hint="eastAsia" w:ascii="宋体" w:hAnsi="宋体" w:eastAsia="宋体"/>
          <w:bCs/>
          <w:sz w:val="24"/>
          <w:szCs w:val="24"/>
          <w:vertAlign w:val="superscript"/>
        </w:rPr>
        <w:t>2</w:t>
      </w:r>
      <w:r>
        <w:rPr>
          <w:rFonts w:hint="eastAsia" w:ascii="宋体" w:hAnsi="宋体" w:eastAsia="宋体"/>
          <w:bCs/>
          <w:sz w:val="24"/>
          <w:szCs w:val="24"/>
        </w:rPr>
        <w:t>。</w:t>
      </w:r>
    </w:p>
    <w:p w14:paraId="7905796A">
      <w:pPr>
        <w:spacing w:line="360" w:lineRule="auto"/>
        <w:ind w:firstLine="480" w:firstLineChars="200"/>
        <w:rPr>
          <w:rFonts w:ascii="宋体" w:hAnsi="宋体" w:eastAsia="宋体"/>
          <w:b/>
          <w:sz w:val="24"/>
          <w:szCs w:val="24"/>
        </w:rPr>
      </w:pPr>
      <w:r>
        <w:rPr>
          <w:rFonts w:hint="eastAsia" w:ascii="宋体" w:hAnsi="宋体" w:eastAsia="宋体"/>
          <w:b/>
          <w:sz w:val="24"/>
          <w:szCs w:val="24"/>
        </w:rPr>
        <w:t>2.主要工作任务</w:t>
      </w:r>
    </w:p>
    <w:p w14:paraId="620FD65C">
      <w:pPr>
        <w:spacing w:line="360" w:lineRule="auto"/>
        <w:ind w:firstLine="480" w:firstLineChars="200"/>
        <w:rPr>
          <w:rFonts w:ascii="宋体" w:hAnsi="宋体" w:eastAsia="宋体"/>
          <w:bCs/>
          <w:sz w:val="24"/>
          <w:szCs w:val="24"/>
        </w:rPr>
      </w:pPr>
      <w:r>
        <w:rPr>
          <w:rFonts w:hint="eastAsia" w:ascii="宋体" w:hAnsi="宋体" w:eastAsia="宋体"/>
          <w:bCs/>
          <w:sz w:val="24"/>
          <w:szCs w:val="24"/>
        </w:rPr>
        <w:t>本次地质灾害危险性区域评估工作目的是紧密结合区域总体规划，根据相关规范、要求和已有的各方面地质资料，有针对性地部署地质环境调查、水文地质、工程地质钻探等工作，在全面分析成果资料的基础上，开展地质灾害危险性区域评估，并建立区域评估成果查询系统，以简化建设项目评估程序和降低成本，提高用地审批效率，更好地服务区内项目建设。</w:t>
      </w:r>
    </w:p>
    <w:p w14:paraId="149F7532">
      <w:pPr>
        <w:spacing w:line="360" w:lineRule="auto"/>
        <w:ind w:firstLine="480" w:firstLineChars="200"/>
        <w:rPr>
          <w:rFonts w:ascii="宋体" w:hAnsi="宋体" w:eastAsia="宋体"/>
          <w:bCs/>
          <w:sz w:val="24"/>
          <w:szCs w:val="24"/>
        </w:rPr>
      </w:pPr>
      <w:r>
        <w:rPr>
          <w:rFonts w:hint="eastAsia" w:ascii="宋体" w:hAnsi="宋体" w:eastAsia="宋体"/>
          <w:bCs/>
          <w:sz w:val="24"/>
          <w:szCs w:val="24"/>
        </w:rPr>
        <w:t>主要任务是：</w:t>
      </w:r>
    </w:p>
    <w:p w14:paraId="445FB69C">
      <w:pPr>
        <w:spacing w:line="360" w:lineRule="auto"/>
        <w:ind w:firstLine="480" w:firstLineChars="200"/>
        <w:rPr>
          <w:rFonts w:ascii="宋体" w:hAnsi="宋体" w:eastAsia="宋体"/>
          <w:bCs/>
          <w:sz w:val="24"/>
          <w:szCs w:val="24"/>
        </w:rPr>
      </w:pPr>
      <w:r>
        <w:rPr>
          <w:rFonts w:hint="eastAsia" w:ascii="宋体" w:hAnsi="宋体" w:eastAsia="宋体"/>
          <w:bCs/>
          <w:sz w:val="24"/>
          <w:szCs w:val="24"/>
        </w:rPr>
        <w:t>（1）全面收集分析工作区气象、水文、水工环地质以及总体规划、地质勘察等各类资料；</w:t>
      </w:r>
    </w:p>
    <w:p w14:paraId="26ED6866">
      <w:pPr>
        <w:spacing w:line="360" w:lineRule="auto"/>
        <w:ind w:firstLine="480" w:firstLineChars="200"/>
        <w:rPr>
          <w:rFonts w:ascii="宋体" w:hAnsi="宋体" w:eastAsia="宋体"/>
          <w:bCs/>
          <w:sz w:val="24"/>
          <w:szCs w:val="24"/>
        </w:rPr>
      </w:pPr>
      <w:r>
        <w:rPr>
          <w:rFonts w:hint="eastAsia" w:ascii="宋体" w:hAnsi="宋体" w:eastAsia="宋体"/>
          <w:bCs/>
          <w:sz w:val="24"/>
          <w:szCs w:val="24"/>
        </w:rPr>
        <w:t>（2）开展地质灾害调查，基本查明工作区地质灾害分布发育特征、形成条件和诱发因素；</w:t>
      </w:r>
    </w:p>
    <w:p w14:paraId="7CCACFD7">
      <w:pPr>
        <w:spacing w:line="360" w:lineRule="auto"/>
        <w:ind w:firstLine="480" w:firstLineChars="200"/>
        <w:rPr>
          <w:rFonts w:ascii="宋体" w:hAnsi="宋体" w:eastAsia="宋体"/>
          <w:bCs/>
          <w:sz w:val="24"/>
          <w:szCs w:val="24"/>
        </w:rPr>
      </w:pPr>
      <w:r>
        <w:rPr>
          <w:rFonts w:hint="eastAsia" w:ascii="宋体" w:hAnsi="宋体" w:eastAsia="宋体"/>
          <w:bCs/>
          <w:sz w:val="24"/>
          <w:szCs w:val="24"/>
        </w:rPr>
        <w:t>（3）有针对性地开展工程地质、水文地质调查及补充钻探工作，全面查清工作区水文地质、工程地质条件；</w:t>
      </w:r>
    </w:p>
    <w:p w14:paraId="0B94738E">
      <w:pPr>
        <w:spacing w:line="360" w:lineRule="auto"/>
        <w:ind w:firstLine="480" w:firstLineChars="200"/>
        <w:rPr>
          <w:rFonts w:ascii="宋体" w:hAnsi="宋体" w:eastAsia="宋体"/>
          <w:bCs/>
          <w:sz w:val="24"/>
          <w:szCs w:val="24"/>
        </w:rPr>
      </w:pPr>
      <w:r>
        <w:rPr>
          <w:rFonts w:hint="eastAsia" w:ascii="宋体" w:hAnsi="宋体" w:eastAsia="宋体"/>
          <w:bCs/>
          <w:sz w:val="24"/>
          <w:szCs w:val="24"/>
        </w:rPr>
        <w:t>（4）分析论证工作区各种地质灾害的易发性、危险性，并进行现状、预测和综合评估；开展建设场地适宜性评价，并提出防治地质灾害的措施与建议；</w:t>
      </w:r>
    </w:p>
    <w:p w14:paraId="5921B938">
      <w:pPr>
        <w:spacing w:line="360" w:lineRule="auto"/>
        <w:ind w:firstLine="480" w:firstLineChars="200"/>
        <w:rPr>
          <w:rFonts w:ascii="宋体" w:hAnsi="宋体" w:eastAsia="宋体"/>
          <w:bCs/>
          <w:sz w:val="24"/>
          <w:szCs w:val="24"/>
        </w:rPr>
      </w:pPr>
      <w:r>
        <w:rPr>
          <w:rFonts w:hint="eastAsia" w:ascii="宋体" w:hAnsi="宋体" w:eastAsia="宋体"/>
          <w:bCs/>
          <w:sz w:val="24"/>
          <w:szCs w:val="24"/>
        </w:rPr>
        <w:t>（5）并建立地质灾害危险性区域评估成果查询系统，以简化建设项目评估程序和降低成本，提高用地审批效率，更好地服务区内项目建设。</w:t>
      </w:r>
    </w:p>
    <w:p w14:paraId="7DCB80BE">
      <w:pPr>
        <w:spacing w:line="360" w:lineRule="auto"/>
        <w:ind w:firstLine="480" w:firstLineChars="200"/>
        <w:rPr>
          <w:rFonts w:ascii="宋体" w:hAnsi="宋体" w:eastAsia="宋体"/>
          <w:bCs/>
          <w:sz w:val="24"/>
          <w:szCs w:val="24"/>
        </w:rPr>
      </w:pPr>
      <w:r>
        <w:rPr>
          <w:rFonts w:hint="eastAsia" w:ascii="宋体" w:hAnsi="宋体" w:eastAsia="宋体"/>
          <w:bCs/>
          <w:sz w:val="24"/>
          <w:szCs w:val="24"/>
        </w:rPr>
        <w:t>（6）评估成果通过审查，提交建设单位使用。</w:t>
      </w:r>
    </w:p>
    <w:p w14:paraId="0316EC58">
      <w:pPr>
        <w:spacing w:line="360" w:lineRule="auto"/>
        <w:ind w:firstLine="480" w:firstLineChars="200"/>
        <w:rPr>
          <w:rFonts w:ascii="宋体" w:hAnsi="宋体" w:eastAsia="宋体"/>
          <w:b/>
          <w:sz w:val="24"/>
          <w:szCs w:val="24"/>
        </w:rPr>
      </w:pPr>
      <w:r>
        <w:rPr>
          <w:rFonts w:hint="eastAsia" w:ascii="宋体" w:hAnsi="宋体" w:eastAsia="宋体"/>
          <w:b/>
          <w:sz w:val="24"/>
          <w:szCs w:val="24"/>
        </w:rPr>
        <w:t>3.评估内容</w:t>
      </w:r>
    </w:p>
    <w:p w14:paraId="21758E10">
      <w:pPr>
        <w:spacing w:line="360" w:lineRule="auto"/>
        <w:ind w:firstLine="480" w:firstLineChars="200"/>
        <w:rPr>
          <w:rFonts w:ascii="宋体" w:hAnsi="宋体" w:eastAsia="宋体"/>
          <w:bCs/>
          <w:sz w:val="24"/>
          <w:szCs w:val="24"/>
        </w:rPr>
      </w:pPr>
      <w:r>
        <w:rPr>
          <w:rFonts w:hint="eastAsia" w:ascii="宋体" w:hAnsi="宋体" w:eastAsia="宋体"/>
          <w:bCs/>
          <w:sz w:val="24"/>
          <w:szCs w:val="24"/>
        </w:rPr>
        <w:t>通过对评估区基础环境地质资料分析和现场调查，查明评估区地质环境条件基本特征，查明评估区地质灾害的类型、分布规模、特征、形成条件及诱发因素，分析论证工程建设区各种地质灾害的危险性，并在此基础上进行地质灾害危险性现状评估；结合本区地质环境条件和建设规划特点，对评估区工程建设可能引发或遭受地质灾害的危险性作出预测评估，并进行地质灾害危险性综合分区评估及建设用地适宜性评价，提出地质灾害防治措施和建议。</w:t>
      </w:r>
    </w:p>
    <w:p w14:paraId="35D7C818">
      <w:pPr>
        <w:spacing w:line="360" w:lineRule="auto"/>
        <w:ind w:firstLine="480" w:firstLineChars="200"/>
        <w:rPr>
          <w:rFonts w:ascii="宋体" w:hAnsi="宋体" w:eastAsia="宋体"/>
          <w:b/>
          <w:sz w:val="24"/>
          <w:szCs w:val="24"/>
        </w:rPr>
      </w:pPr>
      <w:r>
        <w:rPr>
          <w:rFonts w:hint="eastAsia" w:ascii="宋体" w:hAnsi="宋体" w:eastAsia="宋体"/>
          <w:b/>
          <w:sz w:val="24"/>
          <w:szCs w:val="24"/>
        </w:rPr>
        <w:t>4.评估要求</w:t>
      </w:r>
    </w:p>
    <w:p w14:paraId="322407C0">
      <w:pPr>
        <w:spacing w:line="360" w:lineRule="auto"/>
        <w:ind w:firstLine="480" w:firstLineChars="200"/>
        <w:rPr>
          <w:rFonts w:ascii="宋体" w:hAnsi="宋体" w:eastAsia="宋体"/>
          <w:bCs/>
          <w:sz w:val="24"/>
          <w:szCs w:val="24"/>
        </w:rPr>
      </w:pPr>
      <w:r>
        <w:rPr>
          <w:rFonts w:hint="eastAsia" w:ascii="宋体" w:hAnsi="宋体" w:eastAsia="宋体"/>
          <w:bCs/>
          <w:sz w:val="24"/>
          <w:szCs w:val="24"/>
        </w:rPr>
        <w:t>本次工作采用资料收集、野外调查和综合分析研究相结合的技术路线，即在充分收集和分析评估区区域地质、水文地质、工程地质、环境地质等地质背景资料的基础上，根据地质灾害发育的地质背景和地质环境的具体情况，有重点地开展地质灾害调查，综合运用遥感、钻探、取样测试等手段，查明评估区地质灾害的类型、发育特征，分析工程建设、人类活动与地质环境的相互关系和演化趋势，在此基础上对区内地质灾害的危险性进行分析评估。</w:t>
      </w:r>
    </w:p>
    <w:p w14:paraId="2B4A3215">
      <w:pPr>
        <w:spacing w:line="360" w:lineRule="auto"/>
        <w:ind w:firstLine="480" w:firstLineChars="200"/>
        <w:rPr>
          <w:rFonts w:ascii="宋体" w:hAnsi="宋体" w:eastAsia="宋体"/>
          <w:bCs/>
          <w:sz w:val="24"/>
          <w:szCs w:val="24"/>
        </w:rPr>
      </w:pPr>
      <w:r>
        <w:rPr>
          <w:rFonts w:hint="eastAsia" w:ascii="宋体" w:hAnsi="宋体" w:eastAsia="宋体"/>
          <w:bCs/>
          <w:sz w:val="24"/>
          <w:szCs w:val="24"/>
        </w:rPr>
        <w:t>（1）资料收集</w:t>
      </w:r>
    </w:p>
    <w:p w14:paraId="58702798">
      <w:pPr>
        <w:spacing w:line="360" w:lineRule="auto"/>
        <w:ind w:firstLine="480" w:firstLineChars="200"/>
        <w:rPr>
          <w:rFonts w:ascii="宋体" w:hAnsi="宋体" w:eastAsia="宋体"/>
          <w:bCs/>
          <w:sz w:val="24"/>
          <w:szCs w:val="24"/>
        </w:rPr>
      </w:pPr>
      <w:r>
        <w:rPr>
          <w:rFonts w:hint="eastAsia" w:ascii="宋体" w:hAnsi="宋体" w:eastAsia="宋体"/>
          <w:bCs/>
          <w:sz w:val="24"/>
          <w:szCs w:val="24"/>
        </w:rPr>
        <w:t>全面收集工作区相关的气象水文、地质及水文地质、工程勘察、地质灾害监测等方面的资料，了解工作区地质环境背景和地质灾害分布发育情况。收集开发区建设规划、专项规划、土地利用规划等各类规划，明确评估区工程建设类型及其对地质环境扰动特点。</w:t>
      </w:r>
    </w:p>
    <w:p w14:paraId="61ABD57F">
      <w:pPr>
        <w:spacing w:line="360" w:lineRule="auto"/>
        <w:ind w:firstLine="480" w:firstLineChars="200"/>
        <w:rPr>
          <w:rFonts w:ascii="宋体" w:hAnsi="宋体" w:eastAsia="宋体"/>
          <w:bCs/>
          <w:sz w:val="24"/>
          <w:szCs w:val="24"/>
        </w:rPr>
      </w:pPr>
      <w:r>
        <w:rPr>
          <w:rFonts w:hint="eastAsia" w:ascii="宋体" w:hAnsi="宋体" w:eastAsia="宋体"/>
          <w:bCs/>
          <w:sz w:val="24"/>
          <w:szCs w:val="24"/>
        </w:rPr>
        <w:t>（2）地质环境调查。调查评估区地貌成因和形态类型，微地貌分布特征，分析评价地貌形态、高程及其对工程的影响。调查评估区地层岩性的分布特征，褶皱、断裂发育特点，分析评估区及邻近地区区域地质背景，地质构造与地震地质特征，确定地壳稳定性类型。调查评估区及附近第四纪地层成因时代及埋藏分布与岩性特征。</w:t>
      </w:r>
    </w:p>
    <w:p w14:paraId="182A5CD4">
      <w:pPr>
        <w:spacing w:line="360" w:lineRule="auto"/>
        <w:ind w:firstLine="480" w:firstLineChars="200"/>
        <w:rPr>
          <w:rFonts w:ascii="宋体" w:hAnsi="宋体" w:eastAsia="宋体"/>
          <w:bCs/>
          <w:sz w:val="24"/>
          <w:szCs w:val="24"/>
        </w:rPr>
      </w:pPr>
      <w:r>
        <w:rPr>
          <w:rFonts w:hint="eastAsia" w:ascii="宋体" w:hAnsi="宋体" w:eastAsia="宋体"/>
          <w:bCs/>
          <w:sz w:val="24"/>
          <w:szCs w:val="24"/>
        </w:rPr>
        <w:t>开展水文地质调查。查明地下水类型、水文地质结构特征和补迳排条件，调查地下水开发利用情况、地下水水位及动态特征，调查精度应不低于1：10000区域水文地质调查要求。水文地质钻孔数量一般不少于1个/10km</w:t>
      </w:r>
      <w:r>
        <w:rPr>
          <w:rFonts w:hint="eastAsia" w:ascii="宋体" w:hAnsi="宋体" w:eastAsia="宋体"/>
          <w:bCs/>
          <w:sz w:val="24"/>
          <w:szCs w:val="24"/>
          <w:vertAlign w:val="superscript"/>
        </w:rPr>
        <w:t>2</w:t>
      </w:r>
      <w:r>
        <w:rPr>
          <w:rFonts w:hint="eastAsia" w:ascii="宋体" w:hAnsi="宋体" w:eastAsia="宋体"/>
          <w:bCs/>
          <w:sz w:val="24"/>
          <w:szCs w:val="24"/>
        </w:rPr>
        <w:t>（面积小于5km2的开发区至少有1个水文地质钻孔），如收集的资料达不到要求，将补充开展水文地质钻探。分析地下水类型、含水岩组特征及分布规律，阐明含水层类型、成因时代、岩性、富水性、埋藏条件，地下水的补给、径流、排泄条件和水化学类型等。</w:t>
      </w:r>
    </w:p>
    <w:p w14:paraId="2C37F5E0">
      <w:pPr>
        <w:spacing w:line="360" w:lineRule="auto"/>
        <w:ind w:firstLine="480" w:firstLineChars="200"/>
        <w:rPr>
          <w:rFonts w:ascii="宋体" w:hAnsi="宋体" w:eastAsia="宋体"/>
          <w:bCs/>
          <w:sz w:val="24"/>
          <w:szCs w:val="24"/>
        </w:rPr>
      </w:pPr>
      <w:r>
        <w:rPr>
          <w:rFonts w:hint="eastAsia" w:ascii="宋体" w:hAnsi="宋体" w:eastAsia="宋体"/>
          <w:bCs/>
          <w:sz w:val="24"/>
          <w:szCs w:val="24"/>
        </w:rPr>
        <w:t>调查评估区工程地质条件、不良工程地质现象，调查精度达到1：5000工程地质调查要求。每个工程地质分区钻孔数量不少于1个/km</w:t>
      </w:r>
      <w:r>
        <w:rPr>
          <w:rFonts w:hint="eastAsia" w:ascii="宋体" w:hAnsi="宋体" w:eastAsia="宋体"/>
          <w:bCs/>
          <w:sz w:val="24"/>
          <w:szCs w:val="24"/>
          <w:vertAlign w:val="superscript"/>
        </w:rPr>
        <w:t>2</w:t>
      </w:r>
      <w:r>
        <w:rPr>
          <w:rFonts w:hint="eastAsia" w:ascii="宋体" w:hAnsi="宋体" w:eastAsia="宋体"/>
          <w:bCs/>
          <w:sz w:val="24"/>
          <w:szCs w:val="24"/>
        </w:rPr>
        <w:t>，每个工程地质分区都应满足钻孔控制要求，如收集的资料达不到要求，补充开展工程地质钻探。</w:t>
      </w:r>
    </w:p>
    <w:p w14:paraId="79E06970">
      <w:pPr>
        <w:spacing w:line="360" w:lineRule="auto"/>
        <w:ind w:firstLine="480" w:firstLineChars="200"/>
        <w:rPr>
          <w:rFonts w:ascii="宋体" w:hAnsi="宋体" w:eastAsia="宋体"/>
          <w:bCs/>
          <w:sz w:val="24"/>
          <w:szCs w:val="24"/>
        </w:rPr>
      </w:pPr>
      <w:r>
        <w:rPr>
          <w:rFonts w:hint="eastAsia" w:ascii="宋体" w:hAnsi="宋体" w:eastAsia="宋体"/>
          <w:bCs/>
          <w:sz w:val="24"/>
          <w:szCs w:val="24"/>
        </w:rPr>
        <w:t>野外调查应充分了解项目建设特点的基础上，仔细分析、研究和评价项目建设与地质环境之间可能相互产生的影响，以建设性思路，高质量、前瞻性地做好地质灾害评估工作。同时根据评估区地质环境条件和建设规划特点，对评估区进行野外地质环境的调查（包含评估区工程建设的特点及人类工程活动对地质环境的影响等），并结合工程钻机对评估区的工程地质、水文地质进行调查，充分查明评估区工程地质条件、不良工程地质现象、地下水类型、水文地质结构特征和补迳排条件等情况，为区域评估报告的编写提供必要的数据支撑。</w:t>
      </w:r>
    </w:p>
    <w:p w14:paraId="3139F070">
      <w:pPr>
        <w:spacing w:line="360" w:lineRule="auto"/>
        <w:ind w:firstLine="480" w:firstLineChars="200"/>
        <w:rPr>
          <w:rFonts w:ascii="宋体" w:hAnsi="宋体" w:eastAsia="宋体"/>
          <w:bCs/>
          <w:sz w:val="24"/>
          <w:szCs w:val="24"/>
        </w:rPr>
      </w:pPr>
      <w:r>
        <w:rPr>
          <w:rFonts w:hint="eastAsia" w:ascii="宋体" w:hAnsi="宋体" w:eastAsia="宋体"/>
          <w:bCs/>
          <w:sz w:val="24"/>
          <w:szCs w:val="24"/>
        </w:rPr>
        <w:t>（3）地质灾害调查。基本查明评估区及周边已发生（或潜在）各种地质灾害的形成条件、分布类型、活动规模、变形特征、诱发因素与形成机制，对其发育程度进行初步评价。针对不同灾种进行重点调查。</w:t>
      </w:r>
    </w:p>
    <w:p w14:paraId="16C9D12E">
      <w:pPr>
        <w:spacing w:line="360" w:lineRule="auto"/>
        <w:ind w:firstLine="480" w:firstLineChars="200"/>
        <w:rPr>
          <w:rFonts w:ascii="宋体" w:hAnsi="宋体" w:eastAsia="宋体"/>
          <w:bCs/>
          <w:sz w:val="24"/>
          <w:szCs w:val="24"/>
        </w:rPr>
      </w:pPr>
      <w:r>
        <w:rPr>
          <w:rFonts w:hint="eastAsia" w:ascii="宋体" w:hAnsi="宋体" w:eastAsia="宋体"/>
          <w:bCs/>
          <w:sz w:val="24"/>
          <w:szCs w:val="24"/>
        </w:rPr>
        <w:t>（4）综合研究及地质灾害危险性区域评估</w:t>
      </w:r>
    </w:p>
    <w:p w14:paraId="576A990B">
      <w:pPr>
        <w:spacing w:line="360" w:lineRule="auto"/>
        <w:ind w:firstLine="480" w:firstLineChars="200"/>
        <w:rPr>
          <w:rFonts w:ascii="宋体" w:hAnsi="宋体" w:eastAsia="宋体"/>
          <w:bCs/>
          <w:sz w:val="24"/>
          <w:szCs w:val="24"/>
        </w:rPr>
      </w:pPr>
      <w:r>
        <w:rPr>
          <w:rFonts w:hint="eastAsia" w:ascii="宋体" w:hAnsi="宋体" w:eastAsia="宋体"/>
          <w:bCs/>
          <w:sz w:val="24"/>
          <w:szCs w:val="24"/>
        </w:rPr>
        <w:t>根据地质灾害危险性评估、区域评估等有关规范、技术要求，开展开发区地质灾害危险性的现状、预测和综合评估，结合未来的工程建设情况，分工况进行预测和综合评估。</w:t>
      </w:r>
    </w:p>
    <w:p w14:paraId="2F7E11D7">
      <w:pPr>
        <w:spacing w:line="360" w:lineRule="auto"/>
        <w:ind w:firstLine="480" w:firstLineChars="200"/>
        <w:rPr>
          <w:rFonts w:ascii="宋体" w:hAnsi="宋体" w:eastAsia="宋体"/>
          <w:bCs/>
          <w:sz w:val="24"/>
          <w:szCs w:val="24"/>
        </w:rPr>
      </w:pPr>
      <w:r>
        <w:rPr>
          <w:rFonts w:hint="eastAsia" w:ascii="宋体" w:hAnsi="宋体" w:eastAsia="宋体"/>
          <w:bCs/>
          <w:sz w:val="24"/>
          <w:szCs w:val="24"/>
        </w:rPr>
        <w:t>（5）建立地质灾害危险性评估查询成果库。</w:t>
      </w:r>
    </w:p>
    <w:p w14:paraId="127F2C97">
      <w:pPr>
        <w:spacing w:line="360" w:lineRule="auto"/>
        <w:ind w:firstLine="480" w:firstLineChars="200"/>
        <w:rPr>
          <w:rFonts w:ascii="宋体" w:hAnsi="宋体" w:eastAsia="宋体"/>
          <w:b/>
          <w:bCs/>
          <w:sz w:val="24"/>
          <w:szCs w:val="24"/>
        </w:rPr>
      </w:pPr>
      <w:r>
        <w:rPr>
          <w:rFonts w:hint="eastAsia" w:ascii="宋体" w:hAnsi="宋体" w:eastAsia="宋体"/>
          <w:b/>
          <w:bCs/>
          <w:sz w:val="24"/>
          <w:szCs w:val="24"/>
        </w:rPr>
        <w:t>5.</w:t>
      </w:r>
      <w:r>
        <w:rPr>
          <w:rFonts w:ascii="宋体" w:hAnsi="宋体" w:eastAsia="宋体"/>
          <w:b/>
          <w:sz w:val="24"/>
          <w:szCs w:val="24"/>
        </w:rPr>
        <w:t xml:space="preserve"> </w:t>
      </w:r>
      <w:r>
        <w:rPr>
          <w:rFonts w:hint="eastAsia" w:ascii="宋体" w:hAnsi="宋体" w:eastAsia="宋体"/>
          <w:b/>
          <w:bCs/>
          <w:sz w:val="24"/>
          <w:szCs w:val="24"/>
        </w:rPr>
        <w:t>成果文件要求</w:t>
      </w:r>
    </w:p>
    <w:p w14:paraId="33DE5B46">
      <w:pPr>
        <w:spacing w:line="360" w:lineRule="auto"/>
        <w:ind w:firstLine="480" w:firstLineChars="200"/>
        <w:rPr>
          <w:rFonts w:ascii="宋体" w:hAnsi="宋体" w:eastAsia="宋体"/>
          <w:bCs/>
          <w:sz w:val="24"/>
          <w:szCs w:val="24"/>
        </w:rPr>
      </w:pPr>
      <w:r>
        <w:rPr>
          <w:rFonts w:hint="eastAsia" w:ascii="宋体" w:hAnsi="宋体" w:eastAsia="宋体"/>
          <w:bCs/>
          <w:sz w:val="24"/>
          <w:szCs w:val="24"/>
        </w:rPr>
        <w:t>成果构成：包括但不限于《园区地质灾害危险性区域评估报告》：</w:t>
      </w:r>
    </w:p>
    <w:p w14:paraId="74604BAB">
      <w:pPr>
        <w:spacing w:line="360" w:lineRule="auto"/>
        <w:ind w:firstLine="480" w:firstLineChars="200"/>
        <w:rPr>
          <w:rFonts w:ascii="宋体" w:hAnsi="宋体" w:eastAsia="宋体"/>
          <w:bCs/>
          <w:sz w:val="24"/>
          <w:szCs w:val="24"/>
        </w:rPr>
      </w:pPr>
      <w:r>
        <w:rPr>
          <w:rFonts w:hint="eastAsia" w:ascii="宋体" w:hAnsi="宋体" w:eastAsia="宋体"/>
          <w:bCs/>
          <w:sz w:val="24"/>
          <w:szCs w:val="24"/>
        </w:rPr>
        <w:t>1）提供纸质版成果文件4份，电子文件1份；</w:t>
      </w:r>
    </w:p>
    <w:p w14:paraId="2D43C4A7">
      <w:pPr>
        <w:spacing w:line="360" w:lineRule="auto"/>
        <w:ind w:firstLine="480" w:firstLineChars="200"/>
        <w:rPr>
          <w:rFonts w:ascii="宋体" w:hAnsi="宋体" w:eastAsia="宋体"/>
          <w:bCs/>
          <w:sz w:val="24"/>
          <w:szCs w:val="24"/>
        </w:rPr>
      </w:pPr>
      <w:r>
        <w:rPr>
          <w:rFonts w:hint="eastAsia" w:ascii="宋体" w:hAnsi="宋体" w:eastAsia="宋体"/>
          <w:bCs/>
          <w:sz w:val="24"/>
          <w:szCs w:val="24"/>
        </w:rPr>
        <w:t>2）提供成果文件文本规格为A3或A4，包括报告，图纸等，要求胶装。</w:t>
      </w:r>
    </w:p>
    <w:p w14:paraId="1BDBF2F1">
      <w:pPr>
        <w:tabs>
          <w:tab w:val="left" w:pos="210"/>
          <w:tab w:val="left" w:pos="840"/>
          <w:tab w:val="left" w:pos="1260"/>
        </w:tabs>
        <w:spacing w:line="360" w:lineRule="auto"/>
        <w:ind w:firstLine="520" w:firstLineChars="217"/>
        <w:rPr>
          <w:rFonts w:ascii="宋体" w:hAnsi="宋体" w:eastAsia="宋体"/>
          <w:bCs/>
          <w:sz w:val="24"/>
          <w:szCs w:val="24"/>
        </w:rPr>
      </w:pPr>
      <w:r>
        <w:rPr>
          <w:rFonts w:hint="eastAsia" w:ascii="宋体" w:hAnsi="宋体" w:eastAsia="宋体"/>
          <w:bCs/>
          <w:kern w:val="0"/>
          <w:sz w:val="24"/>
          <w:szCs w:val="24"/>
        </w:rPr>
        <w:t>3）电子文件即成果文件的电子版本，以PDF格式提供。</w:t>
      </w:r>
      <w:bookmarkEnd w:id="192"/>
    </w:p>
    <w:p w14:paraId="6003CAD6">
      <w:pPr>
        <w:tabs>
          <w:tab w:val="left" w:pos="210"/>
          <w:tab w:val="left" w:pos="840"/>
          <w:tab w:val="left" w:pos="1260"/>
        </w:tabs>
        <w:spacing w:line="360" w:lineRule="auto"/>
        <w:ind w:firstLine="520" w:firstLineChars="217"/>
        <w:rPr>
          <w:rFonts w:ascii="宋体" w:hAnsi="宋体" w:eastAsia="宋体"/>
          <w:b/>
          <w:sz w:val="24"/>
          <w:szCs w:val="24"/>
        </w:rPr>
      </w:pPr>
      <w:r>
        <w:rPr>
          <w:rFonts w:hint="eastAsia" w:ascii="宋体" w:hAnsi="宋体" w:eastAsia="宋体"/>
          <w:b/>
          <w:sz w:val="24"/>
          <w:szCs w:val="24"/>
        </w:rPr>
        <w:t>6.验收要求</w:t>
      </w:r>
    </w:p>
    <w:p w14:paraId="0C8951EE">
      <w:pPr>
        <w:tabs>
          <w:tab w:val="left" w:pos="210"/>
          <w:tab w:val="left" w:pos="840"/>
          <w:tab w:val="left" w:pos="1260"/>
        </w:tabs>
        <w:spacing w:line="360" w:lineRule="auto"/>
        <w:ind w:firstLine="520" w:firstLineChars="217"/>
        <w:rPr>
          <w:rFonts w:ascii="宋体" w:hAnsi="宋体" w:eastAsia="宋体"/>
          <w:bCs/>
          <w:sz w:val="24"/>
          <w:szCs w:val="24"/>
        </w:rPr>
      </w:pPr>
      <w:r>
        <w:rPr>
          <w:rFonts w:hint="eastAsia" w:ascii="宋体" w:hAnsi="宋体" w:eastAsia="宋体"/>
          <w:bCs/>
          <w:sz w:val="24"/>
          <w:szCs w:val="24"/>
        </w:rPr>
        <w:t>交付成果须符合国家及省市相关法律法规、政策文件和相关规划，并满足采购人要求，经专家评审论证通过，并经采购人审核通过。</w:t>
      </w:r>
      <w:bookmarkEnd w:id="193"/>
      <w:bookmarkEnd w:id="194"/>
    </w:p>
    <w:p w14:paraId="0B18D74E">
      <w:pPr>
        <w:tabs>
          <w:tab w:val="left" w:pos="210"/>
          <w:tab w:val="left" w:pos="840"/>
          <w:tab w:val="left" w:pos="1260"/>
        </w:tabs>
        <w:spacing w:line="360" w:lineRule="auto"/>
        <w:ind w:firstLine="520" w:firstLineChars="217"/>
        <w:rPr>
          <w:rFonts w:ascii="宋体" w:hAnsi="宋体" w:eastAsia="宋体"/>
          <w:bCs/>
          <w:sz w:val="24"/>
          <w:szCs w:val="24"/>
        </w:rPr>
      </w:pPr>
      <w:bookmarkStart w:id="195" w:name="OLE_LINK44"/>
      <w:bookmarkStart w:id="196" w:name="OLE_LINK45"/>
      <w:r>
        <w:rPr>
          <w:rFonts w:hint="eastAsia" w:ascii="宋体" w:hAnsi="宋体" w:eastAsia="宋体"/>
          <w:b/>
          <w:sz w:val="24"/>
          <w:szCs w:val="24"/>
        </w:rPr>
        <w:t>7.</w:t>
      </w:r>
      <w:r>
        <w:rPr>
          <w:rFonts w:hint="eastAsia" w:ascii="宋体" w:hAnsi="宋体" w:eastAsia="宋体"/>
          <w:b/>
          <w:bCs/>
          <w:sz w:val="24"/>
          <w:szCs w:val="24"/>
        </w:rPr>
        <w:t>保密要求</w:t>
      </w:r>
    </w:p>
    <w:p w14:paraId="53087585">
      <w:pPr>
        <w:tabs>
          <w:tab w:val="left" w:pos="210"/>
          <w:tab w:val="left" w:pos="840"/>
          <w:tab w:val="left" w:pos="1260"/>
        </w:tabs>
        <w:spacing w:line="360" w:lineRule="auto"/>
        <w:ind w:firstLine="520" w:firstLineChars="217"/>
        <w:rPr>
          <w:rFonts w:ascii="宋体" w:hAnsi="宋体" w:eastAsia="宋体"/>
          <w:bCs/>
          <w:sz w:val="24"/>
          <w:szCs w:val="24"/>
        </w:rPr>
      </w:pPr>
      <w:r>
        <w:rPr>
          <w:rFonts w:hint="eastAsia" w:ascii="宋体" w:hAnsi="宋体" w:eastAsia="宋体"/>
          <w:bCs/>
          <w:sz w:val="24"/>
          <w:szCs w:val="24"/>
        </w:rPr>
        <w:t>（1）成交供应商必须完全同意，本项目成果的著作权、版权、专利权和使用权归采购人所有（署名权除外），采购人完全享有自由处置该项目成果的权利。</w:t>
      </w:r>
    </w:p>
    <w:p w14:paraId="06915346">
      <w:pPr>
        <w:tabs>
          <w:tab w:val="left" w:pos="210"/>
          <w:tab w:val="left" w:pos="840"/>
          <w:tab w:val="left" w:pos="1260"/>
        </w:tabs>
        <w:spacing w:line="360" w:lineRule="auto"/>
        <w:ind w:firstLine="520" w:firstLineChars="217"/>
        <w:rPr>
          <w:rFonts w:ascii="宋体" w:hAnsi="宋体" w:eastAsia="宋体"/>
          <w:bCs/>
          <w:sz w:val="24"/>
          <w:szCs w:val="24"/>
        </w:rPr>
      </w:pPr>
      <w:r>
        <w:rPr>
          <w:rFonts w:hint="eastAsia" w:ascii="宋体" w:hAnsi="宋体" w:eastAsia="宋体"/>
          <w:bCs/>
          <w:sz w:val="24"/>
          <w:szCs w:val="24"/>
        </w:rPr>
        <w:t>（2）成交供应商必须对采购人提供的属于国家秘密以及商业秘密及个人隐私信息等工作秘密资料、调查数据保密，未经采购人书面同意，成交供应商不得泄露以上相关成果内容。如查实成交供应商确有泄密行为，采购人有权拒付全部服务报酬，并依法追究成交供应商的法律及赔偿责任。成交供应商的保密责任，不因本项目合同的中止或解除而失效。</w:t>
      </w:r>
    </w:p>
    <w:p w14:paraId="103463BF">
      <w:pPr>
        <w:tabs>
          <w:tab w:val="left" w:pos="210"/>
          <w:tab w:val="left" w:pos="840"/>
          <w:tab w:val="left" w:pos="1260"/>
        </w:tabs>
        <w:spacing w:line="360" w:lineRule="auto"/>
        <w:ind w:firstLine="520" w:firstLineChars="217"/>
        <w:rPr>
          <w:rFonts w:ascii="宋体" w:hAnsi="宋体" w:eastAsia="宋体"/>
          <w:bCs/>
          <w:sz w:val="24"/>
          <w:szCs w:val="24"/>
        </w:rPr>
      </w:pPr>
      <w:r>
        <w:rPr>
          <w:rFonts w:hint="eastAsia" w:ascii="宋体" w:hAnsi="宋体" w:eastAsia="宋体"/>
          <w:bCs/>
          <w:sz w:val="24"/>
          <w:szCs w:val="24"/>
        </w:rPr>
        <w:t>（3）双方均应保护对方的知识产权，未经对方同意，任何一方均不得将对方的资料及文件擅自修改、复制或向第三人转让或用于本合同项目外的项目。如发生以上情况，泄密方承担一切由此引起的后果并承担赔偿责任。</w:t>
      </w:r>
      <w:bookmarkEnd w:id="195"/>
      <w:bookmarkEnd w:id="196"/>
    </w:p>
    <w:p w14:paraId="44E35C85">
      <w:pPr>
        <w:adjustRightInd w:val="0"/>
        <w:snapToGrid w:val="0"/>
        <w:spacing w:line="360" w:lineRule="auto"/>
        <w:ind w:firstLine="484" w:firstLineChars="202"/>
        <w:rPr>
          <w:rFonts w:ascii="宋体" w:hAnsi="宋体" w:eastAsia="宋体"/>
          <w:b/>
          <w:sz w:val="24"/>
          <w:szCs w:val="24"/>
        </w:rPr>
      </w:pPr>
      <w:r>
        <w:rPr>
          <w:rFonts w:hint="eastAsia" w:ascii="宋体" w:hAnsi="宋体" w:eastAsia="宋体"/>
          <w:b/>
          <w:sz w:val="24"/>
          <w:szCs w:val="24"/>
        </w:rPr>
        <w:t>四、报价要求</w:t>
      </w:r>
    </w:p>
    <w:p w14:paraId="544D4D48">
      <w:pPr>
        <w:adjustRightInd w:val="0"/>
        <w:snapToGrid w:val="0"/>
        <w:spacing w:line="360" w:lineRule="auto"/>
        <w:ind w:firstLine="480" w:firstLineChars="200"/>
        <w:rPr>
          <w:rFonts w:hint="eastAsia" w:ascii="宋体" w:hAnsi="宋体" w:eastAsia="宋体"/>
          <w:bCs/>
          <w:sz w:val="24"/>
          <w:szCs w:val="24"/>
        </w:rPr>
      </w:pPr>
      <w:bookmarkStart w:id="197" w:name="OLE_LINK83"/>
      <w:bookmarkStart w:id="198" w:name="OLE_LINK84"/>
      <w:r>
        <w:rPr>
          <w:rFonts w:hint="eastAsia" w:ascii="宋体" w:hAnsi="宋体" w:eastAsia="宋体"/>
          <w:sz w:val="24"/>
          <w:szCs w:val="24"/>
        </w:rPr>
        <w:t>报价包括完成服务所需的一切费用，包括但不限于现场调查、资料搜集、报告编制费等所有工作所需的项目全过程服务费、交通差旅费、食宿费、会务费、咨询费、汇报费、相关成果文件费，以及应由供应商支付的管理费、利润、规费、税金、政策性文件规定及合同包含的所有风险、责任等完成本项目的各项应有费用。</w:t>
      </w:r>
      <w:bookmarkEnd w:id="197"/>
      <w:bookmarkEnd w:id="198"/>
    </w:p>
    <w:p w14:paraId="46A31D66">
      <w:pPr>
        <w:pStyle w:val="2"/>
        <w:pageBreakBefore w:val="0"/>
        <w:wordWrap/>
        <w:overflowPunct/>
        <w:topLinePunct w:val="0"/>
        <w:bidi w:val="0"/>
        <w:spacing w:before="0" w:after="0"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、服务期限和地点</w:t>
      </w:r>
    </w:p>
    <w:p w14:paraId="5B91D5F8">
      <w:pPr>
        <w:pStyle w:val="231"/>
        <w:spacing w:line="360" w:lineRule="auto"/>
        <w:ind w:firstLine="566" w:firstLineChars="236"/>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rPr>
        <w:t>合同履行期限：</w:t>
      </w:r>
      <w:r>
        <w:rPr>
          <w:rFonts w:hint="eastAsia" w:ascii="宋体" w:hAnsi="宋体" w:eastAsia="宋体" w:cs="宋体"/>
          <w:kern w:val="0"/>
          <w:sz w:val="24"/>
          <w:szCs w:val="24"/>
          <w:lang w:val="en-US" w:eastAsia="zh-CN"/>
        </w:rPr>
        <w:t>2026年2月28日前提交评估报告并通过专家评审。</w:t>
      </w:r>
    </w:p>
    <w:p w14:paraId="03795944">
      <w:pPr>
        <w:pageBreakBefore w:val="0"/>
        <w:wordWrap/>
        <w:overflowPunct/>
        <w:topLinePunct w:val="0"/>
        <w:bidi w:val="0"/>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地点：本项目合同履行地点为如东县</w:t>
      </w:r>
      <w:r>
        <w:rPr>
          <w:rFonts w:hint="eastAsia" w:ascii="宋体" w:hAnsi="宋体" w:cs="宋体"/>
          <w:color w:val="auto"/>
          <w:sz w:val="24"/>
          <w:szCs w:val="24"/>
          <w:highlight w:val="none"/>
          <w:lang w:val="en-US" w:eastAsia="zh-CN"/>
        </w:rPr>
        <w:t>洋口镇</w:t>
      </w:r>
      <w:r>
        <w:rPr>
          <w:rFonts w:hint="eastAsia" w:ascii="宋体" w:hAnsi="宋体" w:eastAsia="宋体" w:cs="宋体"/>
          <w:color w:val="auto"/>
          <w:sz w:val="24"/>
          <w:szCs w:val="24"/>
          <w:highlight w:val="none"/>
        </w:rPr>
        <w:t>，具体地点以合同书约定为准。</w:t>
      </w:r>
    </w:p>
    <w:p w14:paraId="00206A74">
      <w:pPr>
        <w:pStyle w:val="2"/>
        <w:pageBreakBefore w:val="0"/>
        <w:wordWrap/>
        <w:overflowPunct/>
        <w:topLinePunct w:val="0"/>
        <w:bidi w:val="0"/>
        <w:spacing w:before="0" w:after="0"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、付款方式</w:t>
      </w:r>
    </w:p>
    <w:p w14:paraId="458F5D37">
      <w:pPr>
        <w:pStyle w:val="35"/>
        <w:pageBreakBefore w:val="0"/>
        <w:wordWrap/>
        <w:overflowPunct/>
        <w:topLinePunct w:val="0"/>
        <w:bidi w:val="0"/>
        <w:adjustRightInd w:val="0"/>
        <w:snapToGrid w:val="0"/>
        <w:spacing w:line="360" w:lineRule="auto"/>
        <w:ind w:firstLine="48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合同签订并进场勘探后付合同价的40%，出具评估报告后付至合同价的70%，通过专家评审后付清余款。</w:t>
      </w:r>
    </w:p>
    <w:p w14:paraId="43EA1267">
      <w:pPr>
        <w:pStyle w:val="2"/>
        <w:pageBreakBefore w:val="0"/>
        <w:numPr>
          <w:ilvl w:val="0"/>
          <w:numId w:val="2"/>
        </w:numPr>
        <w:wordWrap/>
        <w:overflowPunct/>
        <w:topLinePunct w:val="0"/>
        <w:bidi w:val="0"/>
        <w:spacing w:before="0" w:after="0"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w:t>
      </w:r>
    </w:p>
    <w:p w14:paraId="7B461D74">
      <w:pPr>
        <w:pStyle w:val="35"/>
        <w:pageBreakBefore w:val="0"/>
        <w:wordWrap/>
        <w:overflowPunct/>
        <w:topLinePunct w:val="0"/>
        <w:bidi w:val="0"/>
        <w:adjustRightInd w:val="0"/>
        <w:snapToGrid w:val="0"/>
        <w:spacing w:line="360" w:lineRule="auto"/>
        <w:ind w:firstLine="48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成果须符合国家及省市相关法律法规、政策文件和相关规划，并满足采购人要求，经专家评审论证通过，并经采购人审核通过。</w:t>
      </w:r>
    </w:p>
    <w:p w14:paraId="2CD7E927">
      <w:pPr>
        <w:rPr>
          <w:rFonts w:hint="eastAsia" w:ascii="宋体" w:hAnsi="宋体" w:eastAsia="宋体" w:cs="宋体"/>
          <w:b/>
          <w:color w:val="auto"/>
          <w:sz w:val="44"/>
          <w:highlight w:val="none"/>
        </w:rPr>
      </w:pPr>
      <w:bookmarkStart w:id="199" w:name="_Toc186493270"/>
    </w:p>
    <w:p w14:paraId="34E8A7E7">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15D61460">
      <w:pPr>
        <w:spacing w:line="360" w:lineRule="auto"/>
        <w:jc w:val="center"/>
        <w:outlineLvl w:val="0"/>
        <w:rPr>
          <w:rFonts w:hint="eastAsia" w:ascii="宋体" w:hAnsi="宋体" w:eastAsia="宋体" w:cs="宋体"/>
          <w:bCs/>
          <w:color w:val="auto"/>
          <w:sz w:val="44"/>
          <w:highlight w:val="none"/>
        </w:rPr>
      </w:pPr>
      <w:r>
        <w:rPr>
          <w:rFonts w:hint="eastAsia" w:ascii="宋体" w:hAnsi="宋体" w:eastAsia="宋体" w:cs="宋体"/>
          <w:b/>
          <w:color w:val="auto"/>
          <w:sz w:val="44"/>
          <w:highlight w:val="none"/>
        </w:rPr>
        <w:t>第四章  评标方</w:t>
      </w:r>
      <w:r>
        <w:rPr>
          <w:rFonts w:hint="eastAsia" w:ascii="宋体" w:hAnsi="宋体" w:eastAsia="宋体" w:cs="宋体"/>
          <w:b/>
          <w:bCs/>
          <w:color w:val="auto"/>
          <w:sz w:val="44"/>
          <w:highlight w:val="none"/>
        </w:rPr>
        <w:t>法与评标标准</w:t>
      </w:r>
      <w:bookmarkEnd w:id="199"/>
    </w:p>
    <w:p w14:paraId="1EDF46F6">
      <w:pP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一、评审方法：</w:t>
      </w:r>
    </w:p>
    <w:p w14:paraId="1F0B74AC">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由评标委员会对投标人资格进行审查，然后对符合资格的投标人的投标文件进行符合性审查，最后评标委员会对符合性审查合格的投标文件商务、技术部分进行评估，综合比较与评价。投标人商务技术分和价格分的合计分值，为该投标人的评标总得分。</w:t>
      </w:r>
    </w:p>
    <w:p w14:paraId="4891ACDF">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评标结果按评审后得分由高到低顺序排列，确定中标候选人名单并按顺序确定中标人。得分相同的，按投标报价由低到高顺序排列。得分且投标报价相同的并列,按照技术指标优劣顺序推荐。</w:t>
      </w:r>
    </w:p>
    <w:tbl>
      <w:tblPr>
        <w:tblStyle w:val="36"/>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2461"/>
        <w:gridCol w:w="5390"/>
      </w:tblGrid>
      <w:tr w14:paraId="4484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center"/>
          </w:tcPr>
          <w:p w14:paraId="07753204">
            <w:pPr>
              <w:spacing w:line="500" w:lineRule="exact"/>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分包号</w:t>
            </w:r>
          </w:p>
        </w:tc>
        <w:tc>
          <w:tcPr>
            <w:tcW w:w="2461" w:type="dxa"/>
            <w:noWrap w:val="0"/>
            <w:vAlign w:val="center"/>
          </w:tcPr>
          <w:p w14:paraId="7E93FA0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选取中标候选人数量</w:t>
            </w:r>
          </w:p>
        </w:tc>
        <w:tc>
          <w:tcPr>
            <w:tcW w:w="5390" w:type="dxa"/>
            <w:noWrap w:val="0"/>
            <w:vAlign w:val="center"/>
          </w:tcPr>
          <w:p w14:paraId="34C6906C">
            <w:pPr>
              <w:spacing w:line="500" w:lineRule="exact"/>
              <w:ind w:firstLine="135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选取中标候选人的原则</w:t>
            </w:r>
          </w:p>
        </w:tc>
      </w:tr>
      <w:tr w14:paraId="2D2C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noWrap w:val="0"/>
            <w:vAlign w:val="center"/>
          </w:tcPr>
          <w:p w14:paraId="56B9EF6D">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61" w:type="dxa"/>
            <w:noWrap w:val="0"/>
            <w:vAlign w:val="center"/>
          </w:tcPr>
          <w:p w14:paraId="6A968598">
            <w:pPr>
              <w:spacing w:line="500" w:lineRule="exact"/>
              <w:ind w:firstLine="87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90" w:type="dxa"/>
            <w:noWrap w:val="0"/>
            <w:vAlign w:val="center"/>
          </w:tcPr>
          <w:p w14:paraId="5F6A33A6">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满足招标文件全部实质性要求，且按照评审因素的量化指标评审得分最高的投标人为中标候选人。</w:t>
            </w:r>
          </w:p>
        </w:tc>
      </w:tr>
    </w:tbl>
    <w:p w14:paraId="6C6D5588">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二、政府采购政策功能落实：</w:t>
      </w:r>
    </w:p>
    <w:p w14:paraId="720F6334">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1、小微型企业价格扣除</w:t>
      </w:r>
    </w:p>
    <w:p w14:paraId="46DA0669">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（1）本项目对小型和微型企业产品给予10%的扣除价格，用扣除后的价格参与评审。</w:t>
      </w:r>
    </w:p>
    <w:p w14:paraId="7C8BCBCB">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（2）供应商需按照《政府采购促进中小企业发展管理办法》（财库﹝2020﹞46 号）的规定提供相应的《中小企业声明函》。</w:t>
      </w:r>
    </w:p>
    <w:p w14:paraId="0E1248CF">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（3）企业标准请参照《关于印发中小企业划型标准规定的通知》（工信部联企业[2011]300号）文件规定自行填写。</w:t>
      </w:r>
    </w:p>
    <w:p w14:paraId="79309331">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2、残疾人福利单位价格扣除</w:t>
      </w:r>
    </w:p>
    <w:p w14:paraId="6FA057F4">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（1）本项目对残疾人福利性单位，给予10%的价格扣除，用扣除后的价格参与评审。</w:t>
      </w:r>
    </w:p>
    <w:p w14:paraId="0331DF53">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（2）残疾人福利单位需按照招标文件的要求提供《残疾人福利性单位声明函》。</w:t>
      </w:r>
    </w:p>
    <w:p w14:paraId="5F2B08A5">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（3）残疾人福利单位标准请参照《关于促进残疾人就业政府采购政策的通知》（财库〔2017〕141号）。</w:t>
      </w:r>
    </w:p>
    <w:p w14:paraId="6CC15C4E">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3、监狱和戒毒企业价格扣除</w:t>
      </w:r>
    </w:p>
    <w:p w14:paraId="3EDE039E">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（1）本项目对监狱和戒毒企业（简称监狱企业）给予10%的价格扣除，用扣除后的价格参与评审。</w:t>
      </w:r>
    </w:p>
    <w:p w14:paraId="3FABF836">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109752C">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（3）监狱企业标准请参照《关于政府采购支持监狱企业发展有关问题的通知》（财库[2014]68号）。</w:t>
      </w:r>
    </w:p>
    <w:p w14:paraId="45E39545">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4、残疾人福利单位、监狱企业属于小型、微型企业的，不重复享受政策。</w:t>
      </w:r>
    </w:p>
    <w:p w14:paraId="0758299D">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项目同意联合体参加投标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扣除，用扣除后的价格参与评审。</w:t>
      </w:r>
    </w:p>
    <w:p w14:paraId="4E62F9A0">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6、联合体各方均为小型、微型企业（残疾人福利单位、监狱企业）的，联合体享受10%价格扣除，用扣除后的价格参与评审。</w:t>
      </w:r>
    </w:p>
    <w:p w14:paraId="37D7E03C">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三、评标方法与评标标准：</w:t>
      </w:r>
    </w:p>
    <w:p w14:paraId="2584EB1D">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本项目采用综合评分法。评委会将按下列评审因素与评审标准进行评分，总分值为100分。</w:t>
      </w:r>
    </w:p>
    <w:p w14:paraId="36DCC3A3">
      <w:pPr>
        <w:spacing w:line="500" w:lineRule="exact"/>
        <w:ind w:firstLine="24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3.1、价格分（</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26EC48E7">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统一采用低价优先法计算，即满足招标文件要求且投标价格最低的投标报价为评标基准价，其价格分为满分。其他投标人的价格分统一按照下列公式计算（注：计算过程和最后得分均四舍五入保留小数点后两位数）：</w:t>
      </w:r>
    </w:p>
    <w:p w14:paraId="29DBB2EF">
      <w:pPr>
        <w:spacing w:line="500" w:lineRule="exact"/>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投标报价得分=（评标基准价/投标报价）×价格权值×100</w:t>
      </w:r>
      <w:r>
        <w:rPr>
          <w:rFonts w:hint="eastAsia" w:ascii="宋体" w:hAnsi="宋体" w:eastAsia="宋体" w:cs="宋体"/>
          <w:color w:val="auto"/>
          <w:sz w:val="24"/>
          <w:szCs w:val="24"/>
          <w:highlight w:val="none"/>
          <w:lang w:val="en-US" w:eastAsia="zh-CN"/>
        </w:rPr>
        <w:t>%</w:t>
      </w:r>
    </w:p>
    <w:p w14:paraId="0636A13B">
      <w:pPr>
        <w:spacing w:line="500" w:lineRule="exact"/>
        <w:ind w:firstLine="55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注：</w:t>
      </w:r>
      <w:r>
        <w:rPr>
          <w:rFonts w:hint="eastAsia" w:ascii="宋体" w:hAnsi="宋体" w:eastAsia="宋体" w:cs="宋体"/>
          <w:color w:val="auto"/>
          <w:sz w:val="24"/>
          <w:szCs w:val="24"/>
          <w:highlight w:val="none"/>
        </w:rPr>
        <w:t>异常低价审查</w:t>
      </w:r>
    </w:p>
    <w:p w14:paraId="26C04C85">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根据省财政厅《关于推动解决政府采购异常低价问题相关工作的通知》（苏财购〔2025〕62号）要求，评审过程中出现下列情形之一的，评标委员会启动异常低价投标(响应)审查的情形和具体要求，包括:</w:t>
      </w:r>
    </w:p>
    <w:p w14:paraId="5740ECE4">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投标(响应)报价低于采购项目预算50%的，即投标(响应)报价&lt;采购项目预算x50%;</w:t>
      </w:r>
    </w:p>
    <w:p w14:paraId="2314CE63">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投标(响应)报价低于采购项目最高限价45%的，即投标(响应)报价&lt;采购项目最高限价x45%;</w:t>
      </w:r>
    </w:p>
    <w:p w14:paraId="781D7CB1">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评标委员会认定的供应商报价过低、有可能影响产品质量或者不能诚信履约的其他情形。</w:t>
      </w:r>
    </w:p>
    <w:p w14:paraId="5CC243F6">
      <w:pPr>
        <w:spacing w:line="50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36C9353C">
      <w:pPr>
        <w:spacing w:line="500" w:lineRule="exact"/>
        <w:ind w:firstLine="24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3.2、商务技术分（</w:t>
      </w:r>
      <w:r>
        <w:rPr>
          <w:rFonts w:hint="eastAsia" w:ascii="宋体" w:hAnsi="宋体" w:eastAsia="宋体" w:cs="宋体"/>
          <w:b/>
          <w:bCs/>
          <w:color w:val="auto"/>
          <w:sz w:val="24"/>
          <w:szCs w:val="24"/>
          <w:highlight w:val="none"/>
          <w:lang w:val="en-US" w:eastAsia="zh-CN"/>
        </w:rPr>
        <w:t>70</w:t>
      </w:r>
      <w:r>
        <w:rPr>
          <w:rFonts w:hint="eastAsia" w:ascii="宋体" w:hAnsi="宋体" w:eastAsia="宋体" w:cs="宋体"/>
          <w:b/>
          <w:bCs/>
          <w:color w:val="auto"/>
          <w:sz w:val="24"/>
          <w:szCs w:val="24"/>
          <w:highlight w:val="none"/>
        </w:rPr>
        <w:t>分）：</w:t>
      </w:r>
    </w:p>
    <w:p w14:paraId="5CACF375">
      <w:pPr>
        <w:spacing w:line="500" w:lineRule="exact"/>
        <w:ind w:firstLine="555"/>
        <w:rPr>
          <w:rFonts w:hint="eastAsia" w:ascii="宋体" w:hAnsi="宋体" w:eastAsia="宋体" w:cs="宋体"/>
          <w:color w:val="auto"/>
          <w:highlight w:val="none"/>
        </w:rPr>
      </w:pPr>
      <w:r>
        <w:rPr>
          <w:rFonts w:hint="eastAsia" w:ascii="宋体" w:hAnsi="宋体" w:eastAsia="宋体" w:cs="宋体"/>
          <w:color w:val="auto"/>
          <w:sz w:val="24"/>
          <w:szCs w:val="24"/>
          <w:highlight w:val="none"/>
        </w:rPr>
        <w:t>各供应商得分为评标小组成员评分的算术平均分，分值保留小数点后两位。</w:t>
      </w:r>
    </w:p>
    <w:tbl>
      <w:tblPr>
        <w:tblStyle w:val="36"/>
        <w:tblW w:w="925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22"/>
        <w:gridCol w:w="6077"/>
        <w:gridCol w:w="851"/>
      </w:tblGrid>
      <w:tr w14:paraId="1A82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325" w:type="dxa"/>
            <w:gridSpan w:val="2"/>
            <w:shd w:val="clear" w:color="auto" w:fill="auto"/>
            <w:vAlign w:val="center"/>
          </w:tcPr>
          <w:p w14:paraId="1342ACD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kern w:val="2"/>
                <w:sz w:val="24"/>
                <w:szCs w:val="24"/>
                <w:lang w:val="en-US" w:eastAsia="zh-CN" w:bidi="ar-SA"/>
                <w14:ligatures w14:val="none"/>
              </w:rPr>
            </w:pPr>
            <w:r>
              <w:rPr>
                <w:rFonts w:hint="eastAsia" w:ascii="宋体" w:hAnsi="宋体" w:eastAsia="宋体" w:cs="宋体"/>
                <w:b/>
                <w:bCs/>
                <w:color w:val="auto"/>
                <w:kern w:val="0"/>
                <w:sz w:val="24"/>
                <w:szCs w:val="24"/>
                <w:lang w:bidi="ar"/>
              </w:rPr>
              <w:t>评审项目</w:t>
            </w:r>
          </w:p>
        </w:tc>
        <w:tc>
          <w:tcPr>
            <w:tcW w:w="6077" w:type="dxa"/>
            <w:shd w:val="clear" w:color="auto" w:fill="auto"/>
            <w:vAlign w:val="center"/>
          </w:tcPr>
          <w:p w14:paraId="6BAA4CC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kern w:val="2"/>
                <w:sz w:val="24"/>
                <w:szCs w:val="24"/>
                <w:lang w:val="en-US" w:eastAsia="zh-CN" w:bidi="ar-SA"/>
                <w14:ligatures w14:val="none"/>
              </w:rPr>
            </w:pPr>
            <w:r>
              <w:rPr>
                <w:rFonts w:hint="eastAsia" w:ascii="宋体" w:hAnsi="宋体" w:eastAsia="宋体" w:cs="宋体"/>
                <w:b/>
                <w:bCs/>
                <w:color w:val="auto"/>
                <w:kern w:val="0"/>
                <w:sz w:val="24"/>
                <w:szCs w:val="24"/>
                <w:lang w:bidi="ar"/>
              </w:rPr>
              <w:t>评审规则</w:t>
            </w:r>
          </w:p>
        </w:tc>
        <w:tc>
          <w:tcPr>
            <w:tcW w:w="851" w:type="dxa"/>
            <w:shd w:val="clear" w:color="auto" w:fill="auto"/>
            <w:vAlign w:val="center"/>
          </w:tcPr>
          <w:p w14:paraId="6108F1BD">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kern w:val="2"/>
                <w:sz w:val="24"/>
                <w:szCs w:val="24"/>
                <w:lang w:val="en-US" w:eastAsia="zh-CN" w:bidi="ar-SA"/>
                <w14:ligatures w14:val="none"/>
              </w:rPr>
            </w:pPr>
            <w:r>
              <w:rPr>
                <w:rFonts w:hint="eastAsia" w:ascii="宋体" w:hAnsi="宋体" w:eastAsia="宋体" w:cs="宋体"/>
                <w:b/>
                <w:bCs/>
                <w:color w:val="auto"/>
                <w:kern w:val="0"/>
                <w:sz w:val="24"/>
                <w:szCs w:val="24"/>
                <w:lang w:bidi="ar"/>
              </w:rPr>
              <w:t>得分</w:t>
            </w:r>
          </w:p>
        </w:tc>
      </w:tr>
      <w:tr w14:paraId="761B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restart"/>
            <w:vAlign w:val="center"/>
          </w:tcPr>
          <w:p w14:paraId="59AA2C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一、技术实施方案（</w:t>
            </w:r>
            <w:r>
              <w:rPr>
                <w:rFonts w:hint="eastAsia" w:ascii="宋体" w:hAnsi="宋体" w:cs="宋体"/>
                <w:color w:val="auto"/>
                <w:kern w:val="0"/>
                <w:sz w:val="24"/>
                <w:szCs w:val="24"/>
                <w:lang w:val="en-US" w:eastAsia="zh-CN" w:bidi="ar"/>
              </w:rPr>
              <w:t>45</w:t>
            </w:r>
            <w:r>
              <w:rPr>
                <w:rFonts w:hint="eastAsia" w:ascii="宋体" w:hAnsi="宋体" w:eastAsia="宋体" w:cs="宋体"/>
                <w:color w:val="auto"/>
                <w:kern w:val="0"/>
                <w:sz w:val="24"/>
                <w:szCs w:val="24"/>
                <w:lang w:bidi="ar"/>
              </w:rPr>
              <w:t>分）</w:t>
            </w:r>
          </w:p>
        </w:tc>
        <w:tc>
          <w:tcPr>
            <w:tcW w:w="1622" w:type="dxa"/>
            <w:vAlign w:val="center"/>
          </w:tcPr>
          <w:p w14:paraId="6B78B2D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rPr>
              <w:t>项目理解</w:t>
            </w:r>
            <w:r>
              <w:rPr>
                <w:rFonts w:hint="eastAsia" w:ascii="宋体" w:hAnsi="宋体" w:eastAsia="宋体" w:cs="宋体"/>
                <w:color w:val="auto"/>
                <w:kern w:val="0"/>
                <w:sz w:val="24"/>
                <w:szCs w:val="24"/>
                <w:lang w:bidi="ar"/>
              </w:rPr>
              <w:t xml:space="preserve">  </w:t>
            </w:r>
          </w:p>
        </w:tc>
        <w:tc>
          <w:tcPr>
            <w:tcW w:w="6077" w:type="dxa"/>
            <w:vAlign w:val="center"/>
          </w:tcPr>
          <w:p w14:paraId="12138E13">
            <w:pPr>
              <w:pStyle w:val="227"/>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供应商对项目背景和需求的理解，并给出合理的建设方案。</w:t>
            </w:r>
          </w:p>
          <w:p w14:paraId="27400CD5">
            <w:pPr>
              <w:pStyle w:val="227"/>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（1）工作目标明确，主要工作任务清楚，工作进度时间安排合理的，得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p w14:paraId="0F991A84">
            <w:pPr>
              <w:pStyle w:val="227"/>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（2）工作目标较明确，主要工作任务较清楚，工作进度时间安排较合理的得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p w14:paraId="602C190E">
            <w:pPr>
              <w:pStyle w:val="227"/>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（3）工作目标不明确，主要工作任务不清楚，工作进度时间安排不合理的得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p>
          <w:p w14:paraId="02C4540A">
            <w:pPr>
              <w:pStyle w:val="227"/>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（4）未提供不得分。  </w:t>
            </w:r>
          </w:p>
        </w:tc>
        <w:tc>
          <w:tcPr>
            <w:tcW w:w="851" w:type="dxa"/>
            <w:vAlign w:val="center"/>
          </w:tcPr>
          <w:p w14:paraId="5FD3E6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9</w:t>
            </w:r>
          </w:p>
        </w:tc>
      </w:tr>
      <w:tr w14:paraId="33CE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14:paraId="4611E3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bidi="ar"/>
              </w:rPr>
            </w:pPr>
          </w:p>
        </w:tc>
        <w:tc>
          <w:tcPr>
            <w:tcW w:w="1622" w:type="dxa"/>
            <w:shd w:val="clear" w:color="auto" w:fill="auto"/>
            <w:vAlign w:val="center"/>
          </w:tcPr>
          <w:p w14:paraId="36144B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4"/>
                <w:szCs w:val="24"/>
                <w:lang w:val="en-US" w:eastAsia="zh-CN" w:bidi="ar"/>
                <w14:ligatures w14:val="none"/>
              </w:rPr>
            </w:pPr>
            <w:r>
              <w:rPr>
                <w:rFonts w:hint="eastAsia" w:ascii="宋体" w:hAnsi="宋体" w:eastAsia="宋体" w:cs="宋体"/>
                <w:color w:val="auto"/>
                <w:kern w:val="0"/>
                <w:sz w:val="24"/>
                <w:szCs w:val="24"/>
                <w:lang w:val="en-US" w:eastAsia="zh-CN" w:bidi="ar"/>
                <w14:ligatures w14:val="none"/>
              </w:rPr>
              <w:t>工作目标、任务及安排情况</w:t>
            </w:r>
          </w:p>
        </w:tc>
        <w:tc>
          <w:tcPr>
            <w:tcW w:w="6077" w:type="dxa"/>
            <w:shd w:val="clear" w:color="auto" w:fill="auto"/>
            <w:vAlign w:val="center"/>
          </w:tcPr>
          <w:p w14:paraId="34464E00">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供应商根据项目情况制定工作目标、任务及安排情况。</w:t>
            </w:r>
          </w:p>
          <w:p w14:paraId="3C9323B4">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（1）针对本项目目标任务，根据所划分的评估范围，收集、分析并充分阐明评估区的地理位置、近三年地质灾害发展情况及地质灾害发育基本特征的得</w:t>
            </w:r>
            <w:r>
              <w:rPr>
                <w:rFonts w:hint="eastAsia" w:ascii="宋体" w:hAnsi="宋体" w:eastAsia="宋体" w:cs="宋体"/>
                <w:sz w:val="24"/>
                <w:szCs w:val="24"/>
                <w:lang w:val="en-US" w:eastAsia="zh-CN"/>
              </w:rPr>
              <w:t>9</w:t>
            </w:r>
            <w:r>
              <w:rPr>
                <w:rFonts w:ascii="宋体" w:hAnsi="宋体" w:eastAsia="宋体" w:cs="宋体"/>
                <w:sz w:val="24"/>
                <w:szCs w:val="24"/>
              </w:rPr>
              <w:t>分；</w:t>
            </w:r>
          </w:p>
          <w:p w14:paraId="2C71E2A7">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能阐明评估区的地理位置、近三年地质灾害发展情况及地质灾害发育基本特征的得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600D9B44">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不能充分阐明评估区的地理位置、范围、近三年地质灾害发展情况及地质灾害发育基本特征的得</w:t>
            </w:r>
            <w:r>
              <w:rPr>
                <w:rFonts w:hint="eastAsia" w:ascii="宋体" w:hAnsi="宋体" w:eastAsia="宋体" w:cs="宋体"/>
                <w:sz w:val="24"/>
                <w:szCs w:val="24"/>
                <w:lang w:val="en-US" w:eastAsia="zh-CN"/>
              </w:rPr>
              <w:t>3</w:t>
            </w:r>
            <w:r>
              <w:rPr>
                <w:rFonts w:ascii="宋体" w:hAnsi="宋体" w:eastAsia="宋体" w:cs="宋体"/>
                <w:sz w:val="24"/>
                <w:szCs w:val="24"/>
              </w:rPr>
              <w:t>分</w:t>
            </w:r>
            <w:r>
              <w:rPr>
                <w:rFonts w:hint="eastAsia" w:ascii="宋体" w:hAnsi="宋体" w:eastAsia="宋体" w:cs="宋体"/>
                <w:sz w:val="24"/>
                <w:szCs w:val="24"/>
              </w:rPr>
              <w:t>；</w:t>
            </w:r>
          </w:p>
          <w:p w14:paraId="3BCA7E80">
            <w:pPr>
              <w:pStyle w:val="14"/>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kern w:val="0"/>
                <w:sz w:val="24"/>
                <w:szCs w:val="24"/>
                <w:lang w:val="en-US" w:eastAsia="zh-CN" w:bidi="ar"/>
                <w14:ligatures w14:val="none"/>
              </w:rPr>
            </w:pPr>
            <w:r>
              <w:rPr>
                <w:rFonts w:hint="eastAsia" w:ascii="宋体" w:hAnsi="宋体" w:eastAsia="宋体" w:cs="宋体"/>
                <w:sz w:val="24"/>
                <w:szCs w:val="24"/>
              </w:rPr>
              <w:t>（4）未提供不得分。</w:t>
            </w:r>
          </w:p>
        </w:tc>
        <w:tc>
          <w:tcPr>
            <w:tcW w:w="851" w:type="dxa"/>
            <w:shd w:val="clear" w:color="auto" w:fill="auto"/>
            <w:vAlign w:val="center"/>
          </w:tcPr>
          <w:p w14:paraId="2865435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val="en-US" w:eastAsia="zh-CN" w:bidi="ar"/>
                <w14:ligatures w14:val="none"/>
              </w:rPr>
            </w:pPr>
            <w:r>
              <w:rPr>
                <w:rFonts w:hint="eastAsia" w:ascii="宋体" w:hAnsi="宋体" w:cs="宋体"/>
                <w:color w:val="auto"/>
                <w:kern w:val="0"/>
                <w:sz w:val="24"/>
                <w:szCs w:val="24"/>
                <w:lang w:val="en-US" w:eastAsia="zh-CN" w:bidi="ar"/>
              </w:rPr>
              <w:t>9</w:t>
            </w:r>
          </w:p>
        </w:tc>
      </w:tr>
      <w:tr w14:paraId="160F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14:paraId="0EFEFC0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rPr>
            </w:pPr>
          </w:p>
        </w:tc>
        <w:tc>
          <w:tcPr>
            <w:tcW w:w="1622" w:type="dxa"/>
            <w:vAlign w:val="center"/>
          </w:tcPr>
          <w:p w14:paraId="273EE6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sz w:val="24"/>
                <w:szCs w:val="24"/>
              </w:rPr>
              <w:t>野外调查、勘查计划</w:t>
            </w:r>
          </w:p>
        </w:tc>
        <w:tc>
          <w:tcPr>
            <w:tcW w:w="6077" w:type="dxa"/>
            <w:vAlign w:val="center"/>
          </w:tcPr>
          <w:p w14:paraId="08DAC5A3">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rPr>
            </w:pPr>
            <w:r>
              <w:rPr>
                <w:rFonts w:hint="eastAsia" w:ascii="宋体" w:hAnsi="宋体" w:eastAsia="宋体" w:cs="宋体"/>
                <w:sz w:val="24"/>
                <w:szCs w:val="24"/>
              </w:rPr>
              <w:t>供应商根据项目情况开展野外调查并合理制定勘查计划。</w:t>
            </w:r>
          </w:p>
          <w:p w14:paraId="42F39EB1">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rPr>
            </w:pPr>
            <w:r>
              <w:rPr>
                <w:rFonts w:hint="eastAsia" w:ascii="宋体" w:hAnsi="宋体" w:eastAsia="宋体" w:cs="宋体"/>
                <w:sz w:val="24"/>
                <w:szCs w:val="24"/>
              </w:rPr>
              <w:t>（1）野外调查、勘查计划周全，思路清晰、合理的，得</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p w14:paraId="3ECBE40D">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rPr>
            </w:pPr>
            <w:r>
              <w:rPr>
                <w:rFonts w:hint="eastAsia" w:ascii="宋体" w:hAnsi="宋体" w:eastAsia="宋体" w:cs="宋体"/>
                <w:sz w:val="24"/>
                <w:szCs w:val="24"/>
              </w:rPr>
              <w:t>（2）野外调查、勘查计划较周全，思路较清晰、较合理的，得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2EC635F0">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4"/>
                <w:szCs w:val="24"/>
              </w:rPr>
            </w:pPr>
            <w:r>
              <w:rPr>
                <w:rFonts w:hint="eastAsia" w:ascii="宋体" w:hAnsi="宋体" w:eastAsia="宋体" w:cs="宋体"/>
                <w:sz w:val="24"/>
                <w:szCs w:val="24"/>
              </w:rPr>
              <w:t>（3）野外调查、勘查计划不周全，思路不清晰、不合理的得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F15830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（4）未提供不得分。 </w:t>
            </w:r>
          </w:p>
        </w:tc>
        <w:tc>
          <w:tcPr>
            <w:tcW w:w="851" w:type="dxa"/>
            <w:vAlign w:val="center"/>
          </w:tcPr>
          <w:p w14:paraId="10B7A3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9</w:t>
            </w:r>
          </w:p>
        </w:tc>
      </w:tr>
      <w:tr w14:paraId="411B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4" w:hRule="atLeast"/>
        </w:trPr>
        <w:tc>
          <w:tcPr>
            <w:tcW w:w="703" w:type="dxa"/>
            <w:vMerge w:val="continue"/>
            <w:vAlign w:val="center"/>
          </w:tcPr>
          <w:p w14:paraId="7DA36F2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rPr>
            </w:pPr>
          </w:p>
        </w:tc>
        <w:tc>
          <w:tcPr>
            <w:tcW w:w="1622" w:type="dxa"/>
            <w:vAlign w:val="center"/>
          </w:tcPr>
          <w:p w14:paraId="3AB785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4"/>
                <w:szCs w:val="24"/>
              </w:rPr>
            </w:pPr>
            <w:r>
              <w:rPr>
                <w:rFonts w:hint="eastAsia" w:ascii="宋体" w:hAnsi="宋体" w:eastAsia="宋体" w:cs="宋体"/>
                <w:sz w:val="24"/>
                <w:szCs w:val="24"/>
              </w:rPr>
              <w:t>项目组织及保障措施</w:t>
            </w:r>
          </w:p>
        </w:tc>
        <w:tc>
          <w:tcPr>
            <w:tcW w:w="6077" w:type="dxa"/>
            <w:vAlign w:val="center"/>
          </w:tcPr>
          <w:p w14:paraId="3BD8DCA5">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供应商根据项目情况开展工作，明确项目组织并制定保障措施。</w:t>
            </w:r>
          </w:p>
          <w:p w14:paraId="18DAF23A">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（1）项目组织管理措施完善，项目组成人员及分工明确，质量管理、技术保证、安全及劳动保证、项目售后服务内容及服务落实保证等措施健全的，得</w:t>
            </w:r>
            <w:r>
              <w:rPr>
                <w:rFonts w:hint="eastAsia" w:ascii="宋体" w:hAnsi="宋体" w:eastAsia="宋体" w:cs="宋体"/>
                <w:sz w:val="24"/>
                <w:szCs w:val="24"/>
                <w:lang w:val="en-US" w:eastAsia="zh-CN"/>
              </w:rPr>
              <w:t>9</w:t>
            </w:r>
            <w:r>
              <w:rPr>
                <w:rFonts w:ascii="宋体" w:hAnsi="宋体" w:eastAsia="宋体" w:cs="宋体"/>
                <w:sz w:val="24"/>
                <w:szCs w:val="24"/>
              </w:rPr>
              <w:t>分；</w:t>
            </w:r>
          </w:p>
          <w:p w14:paraId="349E30EC">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项目组织管理措施较完善，项目组成人员及分工较明确，质量管理、技术保证、安全及劳动保证、项目售后服务内容及服务落实保证等措施较健全的，得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69D24493">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项目组织管理措施不完善，项目组成人员及分工不明确，质量管理、技术保证、安全及劳动保证、项目售后服务内容及服务落实保证等措施不健全的得</w:t>
            </w:r>
            <w:r>
              <w:rPr>
                <w:rFonts w:hint="eastAsia" w:ascii="宋体" w:hAnsi="宋体" w:eastAsia="宋体" w:cs="宋体"/>
                <w:sz w:val="24"/>
                <w:szCs w:val="24"/>
                <w:lang w:val="en-US" w:eastAsia="zh-CN"/>
              </w:rPr>
              <w:t>3</w:t>
            </w:r>
            <w:r>
              <w:rPr>
                <w:rFonts w:ascii="宋体" w:hAnsi="宋体" w:eastAsia="宋体" w:cs="宋体"/>
                <w:sz w:val="24"/>
                <w:szCs w:val="24"/>
              </w:rPr>
              <w:t>分</w:t>
            </w:r>
            <w:r>
              <w:rPr>
                <w:rFonts w:hint="eastAsia" w:ascii="宋体" w:hAnsi="宋体" w:eastAsia="宋体" w:cs="宋体"/>
                <w:sz w:val="24"/>
                <w:szCs w:val="24"/>
              </w:rPr>
              <w:t>；</w:t>
            </w:r>
          </w:p>
          <w:p w14:paraId="155433D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r>
              <w:rPr>
                <w:rFonts w:hint="eastAsia" w:ascii="宋体" w:hAnsi="宋体" w:eastAsia="宋体" w:cs="宋体"/>
                <w:sz w:val="24"/>
                <w:szCs w:val="24"/>
              </w:rPr>
              <w:t>（</w:t>
            </w:r>
            <w:r>
              <w:rPr>
                <w:rFonts w:ascii="宋体" w:hAnsi="宋体" w:eastAsia="宋体" w:cs="宋体"/>
                <w:sz w:val="24"/>
                <w:szCs w:val="24"/>
              </w:rPr>
              <w:t>4）未提供不得分。</w:t>
            </w:r>
          </w:p>
        </w:tc>
        <w:tc>
          <w:tcPr>
            <w:tcW w:w="851" w:type="dxa"/>
            <w:vAlign w:val="center"/>
          </w:tcPr>
          <w:p w14:paraId="4F0B0E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9</w:t>
            </w:r>
          </w:p>
        </w:tc>
      </w:tr>
      <w:tr w14:paraId="7430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3" w:type="dxa"/>
            <w:vMerge w:val="continue"/>
            <w:vAlign w:val="center"/>
          </w:tcPr>
          <w:p w14:paraId="57E4C4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rPr>
            </w:pPr>
          </w:p>
        </w:tc>
        <w:tc>
          <w:tcPr>
            <w:tcW w:w="1622" w:type="dxa"/>
            <w:noWrap/>
            <w:vAlign w:val="center"/>
          </w:tcPr>
          <w:p w14:paraId="7165CC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项目服务承诺</w:t>
            </w:r>
          </w:p>
        </w:tc>
        <w:tc>
          <w:tcPr>
            <w:tcW w:w="6077" w:type="dxa"/>
            <w:vAlign w:val="center"/>
          </w:tcPr>
          <w:p w14:paraId="317C14D8">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根据供应商对承诺项目实施过程中和项目完成后为采购人提供的有关服务进行综合评分。</w:t>
            </w:r>
          </w:p>
          <w:p w14:paraId="1A282FF4">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（1）投标人承诺保质保量完成任务，有良好的售后反馈机制，在项目实验过程和地质灾害区域评估成果有效期内，继续为采购人提供技术咨询及系统维护服务并给予合理性建议的得</w:t>
            </w:r>
            <w:r>
              <w:rPr>
                <w:rFonts w:hint="eastAsia" w:ascii="宋体" w:hAnsi="宋体" w:eastAsia="宋体" w:cs="宋体"/>
                <w:sz w:val="24"/>
                <w:szCs w:val="24"/>
                <w:lang w:val="en-US" w:eastAsia="zh-CN"/>
              </w:rPr>
              <w:t>9</w:t>
            </w:r>
            <w:r>
              <w:rPr>
                <w:rFonts w:ascii="宋体" w:hAnsi="宋体" w:eastAsia="宋体" w:cs="宋体"/>
                <w:sz w:val="24"/>
                <w:szCs w:val="24"/>
              </w:rPr>
              <w:t>分；</w:t>
            </w:r>
          </w:p>
          <w:p w14:paraId="625E4560">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较好的为采购人提供技术咨询及系统维护服务并给予合理性建议的得</w:t>
            </w:r>
            <w:r>
              <w:rPr>
                <w:rFonts w:hint="eastAsia" w:ascii="宋体" w:hAnsi="宋体" w:eastAsia="宋体" w:cs="宋体"/>
                <w:sz w:val="24"/>
                <w:szCs w:val="24"/>
                <w:lang w:val="en-US" w:eastAsia="zh-CN"/>
              </w:rPr>
              <w:t>6</w:t>
            </w:r>
            <w:r>
              <w:rPr>
                <w:rFonts w:ascii="宋体" w:hAnsi="宋体" w:eastAsia="宋体" w:cs="宋体"/>
                <w:sz w:val="24"/>
                <w:szCs w:val="24"/>
              </w:rPr>
              <w:t>分；</w:t>
            </w:r>
          </w:p>
          <w:p w14:paraId="2C5E095B">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提供不全面、未提供服务承诺及合理性建议的得</w:t>
            </w:r>
            <w:r>
              <w:rPr>
                <w:rFonts w:hint="eastAsia" w:ascii="宋体" w:hAnsi="宋体" w:eastAsia="宋体" w:cs="宋体"/>
                <w:sz w:val="24"/>
                <w:szCs w:val="24"/>
                <w:lang w:val="en-US" w:eastAsia="zh-CN"/>
              </w:rPr>
              <w:t>3分</w:t>
            </w:r>
            <w:r>
              <w:rPr>
                <w:rFonts w:ascii="宋体" w:hAnsi="宋体" w:eastAsia="宋体" w:cs="宋体"/>
                <w:sz w:val="24"/>
                <w:szCs w:val="24"/>
              </w:rPr>
              <w:t>。</w:t>
            </w:r>
          </w:p>
          <w:p w14:paraId="3B11828F">
            <w:pPr>
              <w:pStyle w:val="14"/>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r>
              <w:rPr>
                <w:rFonts w:hint="eastAsia" w:ascii="宋体" w:hAnsi="宋体" w:eastAsia="宋体" w:cs="宋体"/>
                <w:sz w:val="24"/>
                <w:szCs w:val="24"/>
              </w:rPr>
              <w:t>（</w:t>
            </w:r>
            <w:r>
              <w:rPr>
                <w:rFonts w:ascii="宋体" w:hAnsi="宋体" w:eastAsia="宋体" w:cs="宋体"/>
                <w:sz w:val="24"/>
                <w:szCs w:val="24"/>
              </w:rPr>
              <w:t>4）未提供不得分。</w:t>
            </w:r>
          </w:p>
        </w:tc>
        <w:tc>
          <w:tcPr>
            <w:tcW w:w="851" w:type="dxa"/>
            <w:vAlign w:val="center"/>
          </w:tcPr>
          <w:p w14:paraId="3640BB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9</w:t>
            </w:r>
          </w:p>
        </w:tc>
      </w:tr>
      <w:tr w14:paraId="33E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3" w:type="dxa"/>
            <w:vMerge w:val="restart"/>
            <w:vAlign w:val="center"/>
          </w:tcPr>
          <w:p w14:paraId="76AD57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二、企业实力（</w:t>
            </w:r>
            <w:r>
              <w:rPr>
                <w:rFonts w:hint="eastAsia" w:ascii="宋体" w:hAnsi="宋体" w:cs="宋体"/>
                <w:color w:val="auto"/>
                <w:kern w:val="0"/>
                <w:sz w:val="24"/>
                <w:szCs w:val="24"/>
                <w:lang w:val="en-US" w:eastAsia="zh-CN" w:bidi="ar"/>
              </w:rPr>
              <w:t>25</w:t>
            </w:r>
            <w:r>
              <w:rPr>
                <w:rFonts w:hint="eastAsia" w:ascii="宋体" w:hAnsi="宋体" w:eastAsia="宋体" w:cs="宋体"/>
                <w:color w:val="auto"/>
                <w:kern w:val="0"/>
                <w:sz w:val="24"/>
                <w:szCs w:val="24"/>
                <w:lang w:bidi="ar"/>
              </w:rPr>
              <w:t>分）</w:t>
            </w:r>
          </w:p>
        </w:tc>
        <w:tc>
          <w:tcPr>
            <w:tcW w:w="1622" w:type="dxa"/>
            <w:vMerge w:val="restart"/>
            <w:noWrap/>
            <w:vAlign w:val="center"/>
          </w:tcPr>
          <w:p w14:paraId="2A3647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项目组成员</w:t>
            </w:r>
          </w:p>
        </w:tc>
        <w:tc>
          <w:tcPr>
            <w:tcW w:w="6077" w:type="dxa"/>
            <w:vAlign w:val="center"/>
          </w:tcPr>
          <w:p w14:paraId="6C634DB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lang w:bidi="ar"/>
              </w:rPr>
            </w:pPr>
            <w:r>
              <w:rPr>
                <w:rFonts w:hint="eastAsia" w:ascii="宋体" w:hAnsi="宋体" w:eastAsia="宋体" w:cs="宋体"/>
                <w:sz w:val="24"/>
                <w:szCs w:val="24"/>
              </w:rPr>
              <w:t>项目负责人：具有水工环或岩土工程或地质工程专业正高级（研究员级、教授级）工程师职称且持有行政主管部门颁发的地质灾害危险性评估培训证书的得</w:t>
            </w:r>
            <w:r>
              <w:rPr>
                <w:rFonts w:ascii="宋体" w:hAnsi="宋体" w:eastAsia="宋体" w:cs="宋体"/>
                <w:sz w:val="24"/>
                <w:szCs w:val="24"/>
              </w:rPr>
              <w:t>2分</w:t>
            </w:r>
            <w:r>
              <w:rPr>
                <w:rFonts w:hint="eastAsia" w:ascii="宋体" w:hAnsi="宋体" w:eastAsia="宋体" w:cs="宋体"/>
                <w:sz w:val="24"/>
                <w:szCs w:val="24"/>
              </w:rPr>
              <w:t>；具有国家注册土</w:t>
            </w:r>
            <w:r>
              <w:rPr>
                <w:rFonts w:hint="eastAsia" w:ascii="宋体" w:hAnsi="宋体" w:cs="宋体"/>
                <w:sz w:val="24"/>
                <w:szCs w:val="24"/>
                <w:lang w:val="en-US" w:eastAsia="zh-CN"/>
              </w:rPr>
              <w:t>木</w:t>
            </w:r>
            <w:r>
              <w:rPr>
                <w:rFonts w:hint="eastAsia" w:ascii="宋体" w:hAnsi="宋体" w:eastAsia="宋体" w:cs="宋体"/>
                <w:sz w:val="24"/>
                <w:szCs w:val="24"/>
              </w:rPr>
              <w:t>工程师（岩土）的得2分；本项最高得</w:t>
            </w:r>
            <w:r>
              <w:rPr>
                <w:rFonts w:ascii="宋体" w:hAnsi="宋体" w:eastAsia="宋体" w:cs="宋体"/>
                <w:sz w:val="24"/>
                <w:szCs w:val="24"/>
              </w:rPr>
              <w:t>4</w:t>
            </w:r>
            <w:r>
              <w:rPr>
                <w:rFonts w:hint="eastAsia" w:ascii="宋体" w:hAnsi="宋体" w:eastAsia="宋体" w:cs="宋体"/>
                <w:sz w:val="24"/>
                <w:szCs w:val="24"/>
              </w:rPr>
              <w:t>分。</w:t>
            </w:r>
          </w:p>
        </w:tc>
        <w:tc>
          <w:tcPr>
            <w:tcW w:w="851" w:type="dxa"/>
            <w:vAlign w:val="center"/>
          </w:tcPr>
          <w:p w14:paraId="058A0B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4</w:t>
            </w:r>
          </w:p>
        </w:tc>
      </w:tr>
      <w:tr w14:paraId="56F6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14:paraId="24E1DE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bidi="ar"/>
              </w:rPr>
            </w:pPr>
          </w:p>
        </w:tc>
        <w:tc>
          <w:tcPr>
            <w:tcW w:w="1622" w:type="dxa"/>
            <w:vMerge w:val="continue"/>
            <w:noWrap/>
            <w:vAlign w:val="center"/>
          </w:tcPr>
          <w:p w14:paraId="7C3262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kern w:val="0"/>
                <w:sz w:val="24"/>
                <w:szCs w:val="24"/>
                <w:lang w:bidi="ar"/>
              </w:rPr>
            </w:pPr>
          </w:p>
        </w:tc>
        <w:tc>
          <w:tcPr>
            <w:tcW w:w="6077" w:type="dxa"/>
            <w:vAlign w:val="center"/>
          </w:tcPr>
          <w:p w14:paraId="305DE383">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项目团队成员（不含项目负责人）：</w:t>
            </w:r>
          </w:p>
          <w:p w14:paraId="5440ED41">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ascii="宋体" w:hAnsi="宋体" w:eastAsia="宋体" w:cs="宋体"/>
                <w:sz w:val="24"/>
                <w:szCs w:val="24"/>
              </w:rPr>
              <w:t>1、项目技术负责人具有水工环或岩土工程</w:t>
            </w:r>
            <w:r>
              <w:rPr>
                <w:rFonts w:hint="eastAsia" w:ascii="宋体" w:hAnsi="宋体" w:eastAsia="宋体" w:cs="宋体"/>
                <w:sz w:val="24"/>
                <w:szCs w:val="24"/>
              </w:rPr>
              <w:t>或地质工程</w:t>
            </w:r>
            <w:r>
              <w:rPr>
                <w:rFonts w:ascii="宋体" w:hAnsi="宋体" w:eastAsia="宋体" w:cs="宋体"/>
                <w:sz w:val="24"/>
                <w:szCs w:val="24"/>
              </w:rPr>
              <w:t>专业正高级（研究员级、教授级）工程师职称的得2分；</w:t>
            </w:r>
            <w:r>
              <w:rPr>
                <w:rFonts w:hint="eastAsia" w:ascii="宋体" w:hAnsi="宋体" w:eastAsia="宋体" w:cs="宋体"/>
                <w:sz w:val="24"/>
                <w:szCs w:val="24"/>
              </w:rPr>
              <w:t>具有国家注册土</w:t>
            </w:r>
            <w:r>
              <w:rPr>
                <w:rFonts w:hint="eastAsia" w:ascii="宋体" w:hAnsi="宋体" w:cs="宋体"/>
                <w:sz w:val="24"/>
                <w:szCs w:val="24"/>
                <w:lang w:val="en-US" w:eastAsia="zh-CN"/>
              </w:rPr>
              <w:t>木</w:t>
            </w:r>
            <w:r>
              <w:rPr>
                <w:rFonts w:hint="eastAsia" w:ascii="宋体" w:hAnsi="宋体" w:eastAsia="宋体" w:cs="宋体"/>
                <w:sz w:val="24"/>
                <w:szCs w:val="24"/>
              </w:rPr>
              <w:t>工程师（岩土）的得</w:t>
            </w:r>
            <w:r>
              <w:rPr>
                <w:rFonts w:ascii="宋体" w:hAnsi="宋体" w:eastAsia="宋体" w:cs="宋体"/>
                <w:sz w:val="24"/>
                <w:szCs w:val="24"/>
              </w:rPr>
              <w:t>2分；本项最高得4分。</w:t>
            </w:r>
          </w:p>
          <w:p w14:paraId="1A834C60">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ascii="宋体" w:hAnsi="宋体" w:eastAsia="宋体" w:cs="宋体"/>
                <w:sz w:val="24"/>
                <w:szCs w:val="24"/>
              </w:rPr>
              <w:t>2、项目组其它人员具有水工环或岩土工程</w:t>
            </w:r>
            <w:r>
              <w:rPr>
                <w:rFonts w:hint="eastAsia" w:ascii="宋体" w:hAnsi="宋体" w:eastAsia="宋体" w:cs="宋体"/>
                <w:sz w:val="24"/>
                <w:szCs w:val="24"/>
              </w:rPr>
              <w:t>或地质工程</w:t>
            </w:r>
            <w:r>
              <w:rPr>
                <w:rFonts w:ascii="宋体" w:hAnsi="宋体" w:eastAsia="宋体" w:cs="宋体"/>
                <w:sz w:val="24"/>
                <w:szCs w:val="24"/>
              </w:rPr>
              <w:t>专业高级职称且持有行政主管部门颁发的地质灾害危险性评估培训证书的，每增加一人加1分；本项最高得3分，提供证书复印件，否则不得分。</w:t>
            </w:r>
          </w:p>
          <w:p w14:paraId="1006F17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kern w:val="0"/>
                <w:sz w:val="24"/>
                <w:szCs w:val="24"/>
                <w:lang w:bidi="ar"/>
              </w:rPr>
            </w:pPr>
            <w:r>
              <w:rPr>
                <w:rFonts w:hint="eastAsia" w:ascii="宋体" w:hAnsi="宋体" w:eastAsia="宋体" w:cs="宋体"/>
                <w:sz w:val="24"/>
                <w:szCs w:val="24"/>
              </w:rPr>
              <w:t>3、</w:t>
            </w:r>
            <w:r>
              <w:rPr>
                <w:rFonts w:ascii="宋体" w:hAnsi="宋体" w:eastAsia="宋体" w:cs="宋体"/>
                <w:sz w:val="24"/>
                <w:szCs w:val="24"/>
              </w:rPr>
              <w:t>本项目设有1名专职安全员，负责安全管理工作。专职安全员具有水工环或岩土工程或地质工程专业</w:t>
            </w:r>
            <w:r>
              <w:rPr>
                <w:rFonts w:hint="eastAsia" w:ascii="宋体" w:hAnsi="宋体" w:eastAsia="宋体" w:cs="宋体"/>
                <w:sz w:val="24"/>
                <w:szCs w:val="24"/>
              </w:rPr>
              <w:t>高级工程师</w:t>
            </w:r>
            <w:r>
              <w:rPr>
                <w:rFonts w:ascii="宋体" w:hAnsi="宋体" w:eastAsia="宋体" w:cs="宋体"/>
                <w:sz w:val="24"/>
                <w:szCs w:val="24"/>
              </w:rPr>
              <w:t>职称证书的得1分；具有注册安全工程师证书的得3分；本项最高得4分</w:t>
            </w:r>
            <w:r>
              <w:rPr>
                <w:rFonts w:hint="eastAsia" w:ascii="宋体" w:hAnsi="宋体" w:eastAsia="宋体" w:cs="宋体"/>
                <w:sz w:val="24"/>
                <w:szCs w:val="24"/>
              </w:rPr>
              <w:t>。</w:t>
            </w:r>
          </w:p>
        </w:tc>
        <w:tc>
          <w:tcPr>
            <w:tcW w:w="851" w:type="dxa"/>
            <w:vAlign w:val="center"/>
          </w:tcPr>
          <w:p w14:paraId="7F69A0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11</w:t>
            </w:r>
          </w:p>
        </w:tc>
      </w:tr>
      <w:tr w14:paraId="2905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703" w:type="dxa"/>
            <w:vMerge w:val="continue"/>
            <w:vAlign w:val="center"/>
          </w:tcPr>
          <w:p w14:paraId="096EB65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bidi="ar"/>
              </w:rPr>
            </w:pPr>
          </w:p>
        </w:tc>
        <w:tc>
          <w:tcPr>
            <w:tcW w:w="8550" w:type="dxa"/>
            <w:gridSpan w:val="3"/>
            <w:noWrap/>
            <w:vAlign w:val="center"/>
          </w:tcPr>
          <w:p w14:paraId="43BD4633">
            <w:pPr>
              <w:keepNext w:val="0"/>
              <w:keepLines w:val="0"/>
              <w:pageBreakBefore w:val="0"/>
              <w:kinsoku/>
              <w:wordWrap/>
              <w:overflowPunct/>
              <w:topLinePunct w:val="0"/>
              <w:autoSpaceDE/>
              <w:autoSpaceDN/>
              <w:bidi w:val="0"/>
              <w:adjustRightInd/>
              <w:snapToGrid/>
              <w:spacing w:line="400" w:lineRule="exact"/>
              <w:jc w:val="left"/>
              <w:rPr>
                <w:rFonts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项目组成员不重复计分，须提供人员职称证书、培训证、供应商为其缴纳的</w:t>
            </w:r>
            <w:r>
              <w:rPr>
                <w:rFonts w:hint="eastAsia" w:ascii="Times New Roman" w:hAnsi="Times New Roman" w:cs="Times New Roman"/>
                <w:kern w:val="0"/>
                <w:sz w:val="24"/>
                <w:szCs w:val="24"/>
                <w:shd w:val="clear" w:color="auto" w:fill="FFFFFF"/>
                <w:lang w:val="en-US" w:eastAsia="zh-CN"/>
              </w:rPr>
              <w:t>2025年9月份至2025年11月份中</w:t>
            </w:r>
            <w:r>
              <w:rPr>
                <w:rFonts w:hint="eastAsia" w:ascii="Times New Roman" w:hAnsi="Times New Roman" w:cs="Times New Roman"/>
                <w:kern w:val="0"/>
                <w:sz w:val="24"/>
                <w:szCs w:val="24"/>
                <w:highlight w:val="none"/>
                <w:shd w:val="clear" w:color="auto" w:fill="FFFFFF"/>
                <w:lang w:val="en-US" w:eastAsia="zh-CN"/>
              </w:rPr>
              <w:t>至少1</w:t>
            </w:r>
            <w:r>
              <w:rPr>
                <w:rFonts w:ascii="Times New Roman" w:hAnsi="Times New Roman" w:eastAsia="宋体" w:cs="Times New Roman"/>
                <w:kern w:val="0"/>
                <w:sz w:val="24"/>
                <w:szCs w:val="24"/>
                <w:highlight w:val="none"/>
                <w:shd w:val="clear" w:color="auto" w:fill="FFFFFF"/>
              </w:rPr>
              <w:t>个月</w:t>
            </w:r>
            <w:r>
              <w:rPr>
                <w:rFonts w:hint="eastAsia" w:ascii="宋体" w:hAnsi="宋体" w:eastAsia="宋体" w:cs="宋体"/>
                <w:sz w:val="24"/>
                <w:szCs w:val="24"/>
              </w:rPr>
              <w:t>的社保缴纳证明材料复印件加盖公章，否则不得分；如为事业单位人员或企业中存在事业身份人员，可提供由上级主管部门出具的相关证明材料。</w:t>
            </w:r>
          </w:p>
          <w:p w14:paraId="4D02EE7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sz w:val="24"/>
                <w:szCs w:val="24"/>
              </w:rPr>
              <w:t>2、若项目成员职称证上未列明专业，则以毕业证或学位证上的专业为准。</w:t>
            </w:r>
          </w:p>
        </w:tc>
      </w:tr>
      <w:tr w14:paraId="1DA3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14:paraId="3C61C79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p>
        </w:tc>
        <w:tc>
          <w:tcPr>
            <w:tcW w:w="1622" w:type="dxa"/>
            <w:vAlign w:val="center"/>
          </w:tcPr>
          <w:p w14:paraId="53BD280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color w:val="auto"/>
                <w:sz w:val="24"/>
                <w:szCs w:val="24"/>
              </w:rPr>
            </w:pPr>
            <w:r>
              <w:rPr>
                <w:rFonts w:hint="eastAsia" w:ascii="宋体" w:hAnsi="宋体" w:eastAsia="宋体" w:cs="宋体"/>
                <w:sz w:val="24"/>
                <w:szCs w:val="24"/>
              </w:rPr>
              <w:t>类似业绩</w:t>
            </w:r>
          </w:p>
        </w:tc>
        <w:tc>
          <w:tcPr>
            <w:tcW w:w="6077" w:type="dxa"/>
            <w:vAlign w:val="center"/>
          </w:tcPr>
          <w:p w14:paraId="436BFD3E">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供应商自</w:t>
            </w:r>
            <w:r>
              <w:rPr>
                <w:rFonts w:ascii="宋体" w:hAnsi="宋体" w:eastAsia="宋体" w:cs="宋体"/>
                <w:sz w:val="24"/>
                <w:szCs w:val="24"/>
              </w:rPr>
              <w:t>2021年1月1日以来（以合同签订日期为准）地质灾害危险性区域评估业绩（评估灾种中需包含因地下水开采引发的地面沉降和特殊类岩土（砂土、软土））</w:t>
            </w:r>
            <w:r>
              <w:rPr>
                <w:rFonts w:hint="eastAsia" w:ascii="宋体" w:hAnsi="宋体" w:eastAsia="宋体" w:cs="宋体"/>
                <w:sz w:val="24"/>
                <w:szCs w:val="24"/>
              </w:rPr>
              <w:t>，有1个得2分，本项最高得</w:t>
            </w:r>
            <w:r>
              <w:rPr>
                <w:rFonts w:ascii="宋体" w:hAnsi="宋体" w:eastAsia="宋体" w:cs="宋体"/>
                <w:sz w:val="24"/>
                <w:szCs w:val="24"/>
              </w:rPr>
              <w:t>4分，</w:t>
            </w:r>
            <w:r>
              <w:rPr>
                <w:rFonts w:hint="eastAsia" w:ascii="宋体" w:hAnsi="宋体" w:eastAsia="宋体" w:cs="宋体"/>
                <w:sz w:val="24"/>
                <w:szCs w:val="24"/>
              </w:rPr>
              <w:t>没有</w:t>
            </w:r>
            <w:r>
              <w:rPr>
                <w:rFonts w:ascii="宋体" w:hAnsi="宋体" w:eastAsia="宋体" w:cs="宋体"/>
                <w:sz w:val="24"/>
                <w:szCs w:val="24"/>
              </w:rPr>
              <w:t>不得分。</w:t>
            </w:r>
          </w:p>
          <w:p w14:paraId="1F2A2535">
            <w:pPr>
              <w:pStyle w:val="14"/>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kern w:val="0"/>
                <w:sz w:val="24"/>
                <w:szCs w:val="24"/>
                <w:lang w:bidi="ar"/>
              </w:rPr>
            </w:pPr>
            <w:r>
              <w:rPr>
                <w:rFonts w:hint="eastAsia" w:ascii="宋体" w:hAnsi="宋体" w:eastAsia="宋体" w:cs="宋体"/>
                <w:sz w:val="24"/>
                <w:szCs w:val="24"/>
              </w:rPr>
              <w:t>投标文件中提供合同复印件和专家审查意见并加盖公章，未按要求提供或无法证明的不得分。</w:t>
            </w:r>
          </w:p>
        </w:tc>
        <w:tc>
          <w:tcPr>
            <w:tcW w:w="851" w:type="dxa"/>
            <w:noWrap/>
            <w:vAlign w:val="center"/>
          </w:tcPr>
          <w:p w14:paraId="66B9AB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4</w:t>
            </w:r>
          </w:p>
        </w:tc>
      </w:tr>
      <w:tr w14:paraId="0EDC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Merge w:val="continue"/>
            <w:vAlign w:val="center"/>
          </w:tcPr>
          <w:p w14:paraId="22E7963A">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sz w:val="24"/>
                <w:szCs w:val="24"/>
              </w:rPr>
            </w:pPr>
          </w:p>
        </w:tc>
        <w:tc>
          <w:tcPr>
            <w:tcW w:w="1622" w:type="dxa"/>
            <w:noWrap/>
            <w:vAlign w:val="center"/>
          </w:tcPr>
          <w:p w14:paraId="5B51E4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color w:val="auto"/>
                <w:sz w:val="24"/>
                <w:szCs w:val="24"/>
              </w:rPr>
            </w:pPr>
            <w:r>
              <w:rPr>
                <w:rFonts w:hint="eastAsia" w:ascii="宋体" w:hAnsi="宋体" w:eastAsia="宋体" w:cs="宋体"/>
                <w:sz w:val="24"/>
                <w:szCs w:val="24"/>
              </w:rPr>
              <w:t>企业综合实力</w:t>
            </w:r>
          </w:p>
        </w:tc>
        <w:tc>
          <w:tcPr>
            <w:tcW w:w="6077" w:type="dxa"/>
            <w:vAlign w:val="center"/>
          </w:tcPr>
          <w:p w14:paraId="2A4FA443">
            <w:pPr>
              <w:keepNext w:val="0"/>
              <w:keepLines w:val="0"/>
              <w:pageBreakBefore w:val="0"/>
              <w:kinsoku/>
              <w:wordWrap/>
              <w:overflowPunct/>
              <w:topLinePunct w:val="0"/>
              <w:autoSpaceDE/>
              <w:autoSpaceDN/>
              <w:bidi w:val="0"/>
              <w:adjustRightInd/>
              <w:snapToGrid/>
              <w:spacing w:line="400" w:lineRule="exact"/>
              <w:rPr>
                <w:rFonts w:ascii="宋体" w:hAnsi="宋体" w:eastAsia="宋体" w:cs="宋体"/>
                <w:sz w:val="24"/>
                <w:szCs w:val="24"/>
              </w:rPr>
            </w:pPr>
            <w:r>
              <w:rPr>
                <w:rFonts w:hint="eastAsia" w:ascii="宋体" w:hAnsi="宋体" w:eastAsia="宋体" w:cs="宋体"/>
                <w:sz w:val="24"/>
                <w:szCs w:val="24"/>
              </w:rPr>
              <w:t>1、供应商具有住房和城乡建设厅出具安全生产许可证的得</w:t>
            </w:r>
            <w:r>
              <w:rPr>
                <w:rFonts w:ascii="宋体" w:hAnsi="宋体" w:eastAsia="宋体" w:cs="宋体"/>
                <w:sz w:val="24"/>
                <w:szCs w:val="24"/>
              </w:rPr>
              <w:t>2</w:t>
            </w:r>
            <w:r>
              <w:rPr>
                <w:rFonts w:hint="eastAsia" w:ascii="宋体" w:hAnsi="宋体" w:eastAsia="宋体" w:cs="宋体"/>
                <w:sz w:val="24"/>
                <w:szCs w:val="24"/>
              </w:rPr>
              <w:t>分；</w:t>
            </w:r>
          </w:p>
          <w:p w14:paraId="0C65E3B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、供应商具有有效期内的质量管理体系、环境管理体系、职业健康安全管理体系、信息安全管理体系认证证书的，每有一个得</w:t>
            </w:r>
            <w:r>
              <w:rPr>
                <w:rFonts w:ascii="宋体" w:hAnsi="宋体" w:eastAsia="宋体" w:cs="宋体"/>
                <w:sz w:val="24"/>
                <w:szCs w:val="24"/>
              </w:rPr>
              <w:t>1分，最高得4分。</w:t>
            </w:r>
          </w:p>
          <w:p w14:paraId="0C37D680">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投标文件中提供相关证明文件；未按要求提供或无效的不得分</w:t>
            </w:r>
            <w:r>
              <w:rPr>
                <w:rFonts w:hint="eastAsia" w:ascii="宋体" w:hAnsi="宋体" w:eastAsia="宋体" w:cs="宋体"/>
                <w:sz w:val="24"/>
                <w:szCs w:val="24"/>
                <w:lang w:eastAsia="zh-CN"/>
              </w:rPr>
              <w:t>。</w:t>
            </w:r>
          </w:p>
        </w:tc>
        <w:tc>
          <w:tcPr>
            <w:tcW w:w="851" w:type="dxa"/>
            <w:noWrap/>
            <w:vAlign w:val="center"/>
          </w:tcPr>
          <w:p w14:paraId="2749148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6</w:t>
            </w:r>
          </w:p>
        </w:tc>
      </w:tr>
    </w:tbl>
    <w:p w14:paraId="6B70E4E6">
      <w:pPr>
        <w:pStyle w:val="35"/>
        <w:keepNext w:val="0"/>
        <w:keepLines w:val="0"/>
        <w:pageBreakBefore w:val="0"/>
        <w:kinsoku/>
        <w:wordWrap/>
        <w:overflowPunct/>
        <w:topLinePunct w:val="0"/>
        <w:autoSpaceDE/>
        <w:autoSpaceDN/>
        <w:bidi w:val="0"/>
        <w:adjustRightInd/>
        <w:snapToGrid/>
        <w:spacing w:line="400" w:lineRule="exact"/>
        <w:ind w:left="0" w:leftChars="0" w:firstLine="0" w:firstLineChars="0"/>
        <w:rPr>
          <w:rFonts w:hint="eastAsia" w:ascii="宋体" w:hAnsi="宋体" w:eastAsia="宋体" w:cs="宋体"/>
          <w:color w:val="auto"/>
          <w:sz w:val="22"/>
          <w:szCs w:val="22"/>
          <w:highlight w:val="none"/>
        </w:rPr>
      </w:pPr>
    </w:p>
    <w:p w14:paraId="28B2F221">
      <w:pPr>
        <w:widowControl/>
        <w:jc w:val="left"/>
        <w:rPr>
          <w:rFonts w:hint="eastAsia" w:ascii="宋体" w:hAnsi="宋体" w:eastAsia="宋体" w:cs="宋体"/>
          <w:color w:val="auto"/>
          <w:szCs w:val="20"/>
          <w:highlight w:val="none"/>
        </w:rPr>
      </w:pPr>
      <w:r>
        <w:rPr>
          <w:rFonts w:hint="eastAsia" w:ascii="宋体" w:hAnsi="宋体" w:eastAsia="宋体" w:cs="宋体"/>
          <w:color w:val="auto"/>
          <w:highlight w:val="none"/>
        </w:rPr>
        <w:br w:type="page" w:clear="all"/>
      </w:r>
    </w:p>
    <w:p w14:paraId="2987010C">
      <w:pPr>
        <w:pStyle w:val="35"/>
        <w:rPr>
          <w:rFonts w:hint="eastAsia" w:ascii="宋体" w:hAnsi="宋体" w:eastAsia="宋体" w:cs="宋体"/>
          <w:color w:val="auto"/>
          <w:highlight w:val="none"/>
        </w:rPr>
      </w:pPr>
    </w:p>
    <w:p w14:paraId="6D6C3A27">
      <w:pPr>
        <w:ind w:firstLine="2200" w:firstLineChars="500"/>
        <w:jc w:val="both"/>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第五章  合同文本格式</w:t>
      </w:r>
    </w:p>
    <w:p w14:paraId="7A20272D">
      <w:pPr>
        <w:pStyle w:val="32"/>
        <w:spacing w:line="225" w:lineRule="atLeast"/>
        <w:jc w:val="both"/>
        <w:rPr>
          <w:rFonts w:asciiTheme="minorEastAsia" w:hAnsiTheme="minorEastAsia" w:eastAsiaTheme="minorEastAsia"/>
          <w:bCs/>
          <w:sz w:val="30"/>
        </w:rPr>
      </w:pPr>
      <w:r>
        <w:rPr>
          <w:rFonts w:hint="eastAsia"/>
          <w:b/>
          <w:bCs/>
          <w:sz w:val="30"/>
          <w:szCs w:val="30"/>
        </w:rPr>
        <w:t>（本合同为参考合同，招标人可根据项目实际情况，在不改变实质性条款及招标文件精神的基础上作适当修改。招标人保留对合同文本的修改和完善的权利）</w:t>
      </w:r>
    </w:p>
    <w:p w14:paraId="3AA9F017">
      <w:pPr>
        <w:wordWrap w:val="0"/>
        <w:jc w:val="center"/>
        <w:rPr>
          <w:rFonts w:asciiTheme="minorEastAsia" w:hAnsiTheme="minorEastAsia" w:eastAsiaTheme="minorEastAsia"/>
          <w:bCs/>
          <w:sz w:val="48"/>
          <w:szCs w:val="48"/>
        </w:rPr>
      </w:pPr>
    </w:p>
    <w:p w14:paraId="16A91A70">
      <w:pPr>
        <w:wordWrap w:val="0"/>
        <w:jc w:val="center"/>
        <w:rPr>
          <w:rFonts w:asciiTheme="minorEastAsia" w:hAnsiTheme="minorEastAsia" w:eastAsiaTheme="minorEastAsia"/>
          <w:b/>
          <w:spacing w:val="20"/>
          <w:sz w:val="52"/>
          <w:szCs w:val="52"/>
        </w:rPr>
      </w:pPr>
      <w:bookmarkStart w:id="200" w:name="_Toc186493271"/>
      <w:r>
        <w:rPr>
          <w:rFonts w:hint="eastAsia" w:asciiTheme="minorEastAsia" w:hAnsiTheme="minorEastAsia" w:eastAsiaTheme="minorEastAsia"/>
          <w:b/>
          <w:spacing w:val="20"/>
          <w:sz w:val="52"/>
          <w:szCs w:val="52"/>
        </w:rPr>
        <w:t>园区地质灾害危险性区域评估项目</w:t>
      </w:r>
    </w:p>
    <w:p w14:paraId="2EC22AFE">
      <w:pPr>
        <w:wordWrap w:val="0"/>
        <w:jc w:val="both"/>
        <w:rPr>
          <w:rFonts w:asciiTheme="minorEastAsia" w:hAnsiTheme="minorEastAsia" w:eastAsiaTheme="minorEastAsia"/>
          <w:bCs/>
          <w:spacing w:val="20"/>
          <w:w w:val="90"/>
          <w:sz w:val="48"/>
          <w:szCs w:val="48"/>
        </w:rPr>
      </w:pPr>
    </w:p>
    <w:p w14:paraId="1E350EA3">
      <w:pPr>
        <w:wordWrap w:val="0"/>
        <w:jc w:val="center"/>
        <w:rPr>
          <w:rFonts w:asciiTheme="minorEastAsia" w:hAnsiTheme="minorEastAsia" w:eastAsiaTheme="minorEastAsia"/>
          <w:bCs/>
          <w:spacing w:val="20"/>
          <w:w w:val="90"/>
          <w:sz w:val="48"/>
          <w:szCs w:val="48"/>
        </w:rPr>
      </w:pPr>
    </w:p>
    <w:p w14:paraId="4E96BB1D">
      <w:pPr>
        <w:wordWrap w:val="0"/>
        <w:jc w:val="center"/>
        <w:rPr>
          <w:rFonts w:asciiTheme="minorEastAsia" w:hAnsiTheme="minorEastAsia" w:eastAsiaTheme="minorEastAsia"/>
          <w:bCs/>
          <w:spacing w:val="20"/>
          <w:w w:val="90"/>
          <w:sz w:val="48"/>
          <w:szCs w:val="48"/>
        </w:rPr>
      </w:pPr>
    </w:p>
    <w:p w14:paraId="29342189">
      <w:pPr>
        <w:wordWrap w:val="0"/>
        <w:jc w:val="center"/>
        <w:rPr>
          <w:rFonts w:asciiTheme="minorEastAsia" w:hAnsiTheme="minorEastAsia" w:eastAsiaTheme="minorEastAsia"/>
          <w:bCs/>
          <w:spacing w:val="20"/>
          <w:w w:val="90"/>
          <w:sz w:val="48"/>
          <w:szCs w:val="48"/>
        </w:rPr>
      </w:pPr>
    </w:p>
    <w:p w14:paraId="03F0FCF8">
      <w:pPr>
        <w:wordWrap w:val="0"/>
        <w:jc w:val="center"/>
        <w:rPr>
          <w:rFonts w:asciiTheme="minorEastAsia" w:hAnsiTheme="minorEastAsia" w:eastAsiaTheme="minorEastAsia"/>
          <w:bCs/>
          <w:spacing w:val="20"/>
          <w:sz w:val="48"/>
          <w:szCs w:val="48"/>
        </w:rPr>
      </w:pPr>
    </w:p>
    <w:p w14:paraId="2230F2F5">
      <w:pPr>
        <w:wordWrap w:val="0"/>
        <w:jc w:val="center"/>
        <w:rPr>
          <w:rFonts w:asciiTheme="minorEastAsia" w:hAnsiTheme="minorEastAsia" w:eastAsiaTheme="minorEastAsia"/>
          <w:bCs/>
          <w:spacing w:val="20"/>
          <w:sz w:val="52"/>
          <w:szCs w:val="52"/>
        </w:rPr>
      </w:pPr>
      <w:r>
        <w:rPr>
          <w:rFonts w:asciiTheme="minorEastAsia" w:hAnsiTheme="minorEastAsia" w:eastAsiaTheme="minorEastAsia"/>
          <w:bCs/>
          <w:spacing w:val="20"/>
          <w:sz w:val="48"/>
          <w:szCs w:val="48"/>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196850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15.5pt;height:0pt;width:0pt;z-index:251659264;mso-width-relative:page;mso-height-relative:page;" filled="f" stroked="t" coordsize="21600,21600" o:allowincell="f" o:gfxdata="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lBT2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hint="eastAsia" w:asciiTheme="minorEastAsia" w:hAnsiTheme="minorEastAsia" w:eastAsiaTheme="minorEastAsia"/>
          <w:bCs/>
          <w:spacing w:val="20"/>
          <w:sz w:val="48"/>
          <w:szCs w:val="48"/>
        </w:rPr>
        <w:t>服务合同</w:t>
      </w:r>
    </w:p>
    <w:p w14:paraId="4E74E6C1">
      <w:pPr>
        <w:tabs>
          <w:tab w:val="left" w:pos="9921"/>
        </w:tabs>
        <w:wordWrap w:val="0"/>
        <w:jc w:val="both"/>
        <w:rPr>
          <w:rFonts w:asciiTheme="minorEastAsia" w:hAnsiTheme="minorEastAsia" w:eastAsiaTheme="minorEastAsia"/>
          <w:bCs/>
          <w:sz w:val="30"/>
        </w:rPr>
      </w:pPr>
    </w:p>
    <w:p w14:paraId="126B267D">
      <w:pPr>
        <w:tabs>
          <w:tab w:val="left" w:pos="9921"/>
        </w:tabs>
        <w:wordWrap w:val="0"/>
        <w:jc w:val="center"/>
        <w:rPr>
          <w:rFonts w:asciiTheme="minorEastAsia" w:hAnsiTheme="minorEastAsia" w:eastAsiaTheme="minorEastAsia"/>
          <w:bCs/>
          <w:sz w:val="30"/>
        </w:rPr>
      </w:pPr>
    </w:p>
    <w:p w14:paraId="499D3567">
      <w:pPr>
        <w:tabs>
          <w:tab w:val="left" w:pos="5880"/>
          <w:tab w:val="left" w:pos="9921"/>
        </w:tabs>
        <w:wordWrap w:val="0"/>
        <w:jc w:val="left"/>
        <w:rPr>
          <w:rFonts w:asciiTheme="minorEastAsia" w:hAnsiTheme="minorEastAsia" w:eastAsiaTheme="minorEastAsia"/>
          <w:bCs/>
          <w:sz w:val="30"/>
        </w:rPr>
      </w:pPr>
      <w:r>
        <w:rPr>
          <w:rFonts w:asciiTheme="minorEastAsia" w:hAnsiTheme="minorEastAsia" w:eastAsiaTheme="minorEastAsia"/>
          <w:bCs/>
          <w:sz w:val="30"/>
        </w:rPr>
        <w:tab/>
      </w:r>
    </w:p>
    <w:p w14:paraId="76DD10AA">
      <w:pPr>
        <w:tabs>
          <w:tab w:val="left" w:pos="9240"/>
        </w:tabs>
        <w:wordWrap w:val="0"/>
        <w:ind w:right="84" w:rightChars="40" w:firstLine="1200" w:firstLineChars="400"/>
        <w:jc w:val="left"/>
        <w:rPr>
          <w:rFonts w:asciiTheme="minorEastAsia" w:hAnsiTheme="minorEastAsia" w:eastAsiaTheme="minorEastAsia"/>
          <w:b/>
          <w:sz w:val="30"/>
          <w:szCs w:val="30"/>
        </w:rPr>
      </w:pPr>
    </w:p>
    <w:p w14:paraId="2AEC95C4">
      <w:pPr>
        <w:tabs>
          <w:tab w:val="left" w:pos="9240"/>
        </w:tabs>
        <w:wordWrap w:val="0"/>
        <w:ind w:right="84" w:rightChars="40" w:firstLine="1200" w:firstLineChars="400"/>
        <w:jc w:val="left"/>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甲方（采购人）：</w:t>
      </w:r>
      <w:r>
        <w:rPr>
          <w:rFonts w:hint="eastAsia" w:asciiTheme="minorEastAsia" w:hAnsiTheme="minorEastAsia" w:eastAsiaTheme="minorEastAsia"/>
          <w:b/>
          <w:sz w:val="30"/>
          <w:szCs w:val="30"/>
          <w:u w:val="single"/>
        </w:rPr>
        <w:t>如东县洋口镇人民政府</w:t>
      </w:r>
    </w:p>
    <w:p w14:paraId="78EEA60F">
      <w:pPr>
        <w:tabs>
          <w:tab w:val="left" w:pos="9240"/>
        </w:tabs>
        <w:wordWrap w:val="0"/>
        <w:ind w:right="84" w:rightChars="40" w:firstLine="1200" w:firstLineChars="400"/>
        <w:jc w:val="left"/>
        <w:rPr>
          <w:rFonts w:asciiTheme="minorEastAsia" w:hAnsiTheme="minorEastAsia" w:eastAsiaTheme="minorEastAsia"/>
          <w:b/>
          <w:sz w:val="30"/>
          <w:szCs w:val="30"/>
          <w:u w:val="single"/>
        </w:rPr>
      </w:pPr>
      <w:r>
        <w:rPr>
          <w:rFonts w:hint="eastAsia" w:asciiTheme="minorEastAsia" w:hAnsiTheme="minorEastAsia" w:eastAsiaTheme="minorEastAsia"/>
          <w:b/>
          <w:sz w:val="30"/>
          <w:szCs w:val="30"/>
        </w:rPr>
        <w:t>乙方（成交方）：</w:t>
      </w:r>
      <w:r>
        <w:rPr>
          <w:rFonts w:hint="eastAsia" w:asciiTheme="minorEastAsia" w:hAnsiTheme="minorEastAsia" w:eastAsiaTheme="minorEastAsia"/>
          <w:b/>
          <w:sz w:val="30"/>
          <w:szCs w:val="30"/>
          <w:u w:val="single"/>
        </w:rPr>
        <w:t xml:space="preserve"> </w:t>
      </w:r>
      <w:r>
        <w:rPr>
          <w:rFonts w:asciiTheme="minorEastAsia" w:hAnsiTheme="minorEastAsia" w:eastAsiaTheme="minorEastAsia"/>
          <w:b/>
          <w:sz w:val="30"/>
          <w:szCs w:val="30"/>
          <w:u w:val="single"/>
        </w:rPr>
        <w:t xml:space="preserve">                  </w:t>
      </w:r>
    </w:p>
    <w:p w14:paraId="7C81492B">
      <w:pPr>
        <w:wordWrap w:val="0"/>
        <w:jc w:val="left"/>
        <w:rPr>
          <w:rFonts w:asciiTheme="minorEastAsia" w:hAnsiTheme="minorEastAsia" w:eastAsiaTheme="minorEastAsia"/>
          <w:bCs/>
          <w:sz w:val="24"/>
          <w:szCs w:val="24"/>
        </w:rPr>
        <w:sectPr>
          <w:footerReference r:id="rId6" w:type="default"/>
          <w:footerReference r:id="rId7" w:type="even"/>
          <w:pgSz w:w="11906" w:h="16838"/>
          <w:pgMar w:top="1440" w:right="1080" w:bottom="1440" w:left="1080" w:header="850" w:footer="794" w:gutter="0"/>
          <w:pgNumType w:start="1"/>
          <w:cols w:space="425" w:num="1"/>
          <w:docGrid w:type="linesAndChars" w:linePitch="312" w:charSpace="0"/>
        </w:sectPr>
      </w:pPr>
      <w:r>
        <w:rPr>
          <w:rFonts w:asciiTheme="minorEastAsia" w:hAnsiTheme="minorEastAsia" w:eastAsiaTheme="minorEastAsia"/>
          <w:bCs/>
          <w:sz w:val="24"/>
          <w:szCs w:val="24"/>
        </w:rPr>
        <w:br w:type="page"/>
      </w:r>
    </w:p>
    <w:p w14:paraId="5C3D949C">
      <w:pPr>
        <w:pStyle w:val="33"/>
        <w:wordWrap w:val="0"/>
        <w:jc w:val="center"/>
        <w:rPr>
          <w:rFonts w:asciiTheme="minorEastAsia" w:hAnsiTheme="minorEastAsia" w:eastAsiaTheme="minorEastAsia"/>
          <w:sz w:val="36"/>
          <w:szCs w:val="36"/>
        </w:rPr>
      </w:pPr>
      <w:r>
        <w:rPr>
          <w:rFonts w:hint="eastAsia" w:asciiTheme="minorEastAsia" w:hAnsiTheme="minorEastAsia" w:eastAsiaTheme="minorEastAsia"/>
        </w:rPr>
        <w:t>合同书</w:t>
      </w:r>
    </w:p>
    <w:p w14:paraId="521D2F60">
      <w:pPr>
        <w:wordWrap w:val="0"/>
        <w:spacing w:line="440" w:lineRule="exact"/>
        <w:ind w:firstLine="480" w:firstLineChars="200"/>
        <w:rPr>
          <w:rFonts w:asciiTheme="minorEastAsia" w:hAnsiTheme="minorEastAsia" w:eastAsiaTheme="minorEastAsia"/>
          <w:b/>
          <w:bCs/>
          <w:sz w:val="24"/>
          <w:szCs w:val="24"/>
          <w:u w:val="single"/>
        </w:rPr>
      </w:pPr>
      <w:r>
        <w:rPr>
          <w:rFonts w:hint="eastAsia" w:asciiTheme="minorEastAsia" w:hAnsiTheme="minorEastAsia" w:eastAsiaTheme="minorEastAsia"/>
          <w:bCs/>
          <w:sz w:val="24"/>
          <w:szCs w:val="24"/>
        </w:rPr>
        <w:t>甲</w:t>
      </w:r>
      <w:r>
        <w:rPr>
          <w:rFonts w:hint="eastAsia" w:asciiTheme="minorEastAsia" w:hAnsiTheme="minorEastAsia" w:eastAsiaTheme="minorEastAsia"/>
          <w:bCs/>
          <w:sz w:val="24"/>
          <w:szCs w:val="24"/>
          <w:lang w:val="en-US" w:eastAsia="zh-CN"/>
        </w:rPr>
        <w:t xml:space="preserve">  </w:t>
      </w:r>
      <w:r>
        <w:rPr>
          <w:rFonts w:hint="eastAsia" w:asciiTheme="minorEastAsia" w:hAnsiTheme="minorEastAsia" w:eastAsiaTheme="minorEastAsia"/>
          <w:bCs/>
          <w:sz w:val="24"/>
          <w:szCs w:val="24"/>
        </w:rPr>
        <w:t>方（采购人）：</w:t>
      </w:r>
      <w:r>
        <w:rPr>
          <w:rFonts w:hint="eastAsia" w:asciiTheme="minorEastAsia" w:hAnsiTheme="minorEastAsia" w:eastAsiaTheme="minorEastAsia"/>
          <w:bCs/>
          <w:sz w:val="24"/>
          <w:szCs w:val="24"/>
          <w:u w:val="single"/>
        </w:rPr>
        <w:t>如东县洋口镇人民政府</w:t>
      </w:r>
    </w:p>
    <w:p w14:paraId="2DA64CE1">
      <w:pPr>
        <w:wordWrap w:val="0"/>
        <w:spacing w:line="440" w:lineRule="exact"/>
        <w:ind w:firstLine="480" w:firstLineChars="200"/>
        <w:rPr>
          <w:rFonts w:hint="eastAsia" w:asciiTheme="minorEastAsia" w:hAnsiTheme="minorEastAsia" w:eastAsiaTheme="minorEastAsia"/>
          <w:bCs/>
          <w:sz w:val="24"/>
          <w:szCs w:val="24"/>
          <w:lang w:val="en-US" w:eastAsia="zh-CN"/>
        </w:rPr>
      </w:pPr>
      <w:r>
        <w:rPr>
          <w:rFonts w:hint="eastAsia" w:asciiTheme="minorEastAsia" w:hAnsiTheme="minorEastAsia" w:eastAsiaTheme="minorEastAsia"/>
          <w:bCs/>
          <w:sz w:val="24"/>
          <w:szCs w:val="24"/>
          <w:lang w:val="en-US" w:eastAsia="zh-CN"/>
        </w:rPr>
        <w:t>住所地：</w:t>
      </w:r>
    </w:p>
    <w:p w14:paraId="2ADFE915">
      <w:pPr>
        <w:wordWrap w:val="0"/>
        <w:spacing w:line="440" w:lineRule="exact"/>
        <w:ind w:firstLine="480" w:firstLineChars="200"/>
        <w:rPr>
          <w:rFonts w:asciiTheme="minorEastAsia" w:hAnsiTheme="minorEastAsia" w:eastAsiaTheme="minorEastAsia"/>
          <w:b/>
          <w:bCs/>
          <w:sz w:val="24"/>
          <w:szCs w:val="24"/>
          <w:u w:val="single"/>
        </w:rPr>
      </w:pPr>
      <w:r>
        <w:rPr>
          <w:rFonts w:hint="eastAsia" w:asciiTheme="minorEastAsia" w:hAnsiTheme="minorEastAsia" w:eastAsiaTheme="minorEastAsia"/>
          <w:bCs/>
          <w:sz w:val="24"/>
          <w:szCs w:val="24"/>
        </w:rPr>
        <w:t>乙</w:t>
      </w:r>
      <w:r>
        <w:rPr>
          <w:rFonts w:hint="eastAsia" w:asciiTheme="minorEastAsia" w:hAnsiTheme="minorEastAsia" w:eastAsiaTheme="minorEastAsia"/>
          <w:bCs/>
          <w:sz w:val="24"/>
          <w:szCs w:val="24"/>
          <w:lang w:val="en-US" w:eastAsia="zh-CN"/>
        </w:rPr>
        <w:t xml:space="preserve">  </w:t>
      </w:r>
      <w:r>
        <w:rPr>
          <w:rFonts w:hint="eastAsia" w:asciiTheme="minorEastAsia" w:hAnsiTheme="minorEastAsia" w:eastAsiaTheme="minorEastAsia"/>
          <w:bCs/>
          <w:sz w:val="24"/>
          <w:szCs w:val="24"/>
        </w:rPr>
        <w:t>方（成交方）：</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p>
    <w:p w14:paraId="4CFF0D4E">
      <w:pPr>
        <w:wordWrap w:val="0"/>
        <w:spacing w:line="440" w:lineRule="exact"/>
        <w:ind w:firstLine="480" w:firstLineChars="200"/>
        <w:rPr>
          <w:rFonts w:hint="eastAsia" w:asciiTheme="minorEastAsia" w:hAnsiTheme="minorEastAsia" w:eastAsiaTheme="minorEastAsia"/>
          <w:b w:val="0"/>
          <w:bCs/>
          <w:sz w:val="24"/>
          <w:szCs w:val="24"/>
          <w:u w:val="none"/>
          <w:lang w:val="en-US" w:eastAsia="zh-CN"/>
        </w:rPr>
      </w:pPr>
      <w:r>
        <w:rPr>
          <w:rFonts w:hint="eastAsia" w:asciiTheme="minorEastAsia" w:hAnsiTheme="minorEastAsia" w:eastAsiaTheme="minorEastAsia"/>
          <w:b w:val="0"/>
          <w:bCs/>
          <w:sz w:val="24"/>
          <w:szCs w:val="24"/>
          <w:u w:val="none"/>
          <w:lang w:val="en-US" w:eastAsia="zh-CN"/>
        </w:rPr>
        <w:t>住所地：</w:t>
      </w:r>
    </w:p>
    <w:p w14:paraId="35CD0195">
      <w:pPr>
        <w:spacing w:line="420" w:lineRule="exact"/>
        <w:ind w:firstLine="482" w:firstLineChars="200"/>
        <w:rPr>
          <w:rFonts w:asciiTheme="minorEastAsia" w:hAnsiTheme="minorEastAsia" w:eastAsiaTheme="minorEastAsia"/>
          <w:bCs/>
          <w:sz w:val="24"/>
          <w:szCs w:val="24"/>
          <w:u w:val="single"/>
        </w:rPr>
      </w:pPr>
      <w:bookmarkStart w:id="201" w:name="OLE_LINK19"/>
      <w:r>
        <w:rPr>
          <w:rFonts w:hint="eastAsia" w:asciiTheme="minorEastAsia" w:hAnsiTheme="minorEastAsia" w:eastAsiaTheme="minorEastAsia"/>
          <w:b/>
          <w:sz w:val="24"/>
          <w:szCs w:val="24"/>
        </w:rPr>
        <w:t>一、项目名称：</w:t>
      </w:r>
      <w:r>
        <w:rPr>
          <w:rFonts w:hint="eastAsia" w:asciiTheme="minorEastAsia" w:hAnsiTheme="minorEastAsia" w:eastAsiaTheme="minorEastAsia"/>
          <w:sz w:val="24"/>
          <w:szCs w:val="24"/>
        </w:rPr>
        <w:t>园区</w:t>
      </w:r>
      <w:r>
        <w:rPr>
          <w:rFonts w:hint="eastAsia" w:asciiTheme="minorEastAsia" w:hAnsiTheme="minorEastAsia" w:eastAsiaTheme="minorEastAsia"/>
          <w:bCs/>
          <w:sz w:val="24"/>
          <w:szCs w:val="24"/>
        </w:rPr>
        <w:t>地质灾害危险性区域评估</w:t>
      </w:r>
    </w:p>
    <w:p w14:paraId="2B005FEC">
      <w:pPr>
        <w:tabs>
          <w:tab w:val="left" w:pos="210"/>
          <w:tab w:val="left" w:pos="840"/>
          <w:tab w:val="left" w:pos="1134"/>
        </w:tabs>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二、采购内容：</w:t>
      </w:r>
      <w:r>
        <w:rPr>
          <w:rFonts w:hint="eastAsia" w:asciiTheme="minorEastAsia" w:hAnsiTheme="minorEastAsia" w:eastAsiaTheme="minorEastAsia"/>
          <w:sz w:val="24"/>
          <w:szCs w:val="24"/>
        </w:rPr>
        <w:t>本项目为园区地质灾害危险性区域评估项目，评估面积约27.46</w:t>
      </w:r>
      <w:r>
        <w:rPr>
          <w:rFonts w:asciiTheme="minorEastAsia" w:hAnsiTheme="minorEastAsia" w:eastAsiaTheme="minorEastAsia"/>
          <w:sz w:val="24"/>
          <w:szCs w:val="24"/>
        </w:rPr>
        <w:t>km</w:t>
      </w:r>
      <w:r>
        <w:rPr>
          <w:rFonts w:asciiTheme="minorEastAsia" w:hAnsiTheme="minorEastAsia" w:eastAsiaTheme="minorEastAsia"/>
          <w:sz w:val="24"/>
          <w:szCs w:val="24"/>
          <w:vertAlign w:val="superscript"/>
        </w:rPr>
        <w:t>2</w:t>
      </w:r>
      <w:r>
        <w:rPr>
          <w:rFonts w:hint="eastAsia" w:asciiTheme="minorEastAsia" w:hAnsiTheme="minorEastAsia" w:eastAsiaTheme="minorEastAsia"/>
          <w:sz w:val="24"/>
          <w:szCs w:val="24"/>
        </w:rPr>
        <w:t>。乙方负责对本项目进行地质灾害危险性区域评估，并建立区域评估成果查询系统，以简化建设项目评估程序和降低成本，提高用地审批效率，更好地服务区内项目建设。</w:t>
      </w:r>
    </w:p>
    <w:p w14:paraId="6540F90B">
      <w:pPr>
        <w:tabs>
          <w:tab w:val="left" w:pos="210"/>
          <w:tab w:val="left" w:pos="840"/>
          <w:tab w:val="left" w:pos="1260"/>
        </w:tabs>
        <w:adjustRightInd w:val="0"/>
        <w:snapToGrid w:val="0"/>
        <w:spacing w:line="420" w:lineRule="exact"/>
        <w:ind w:left="524"/>
        <w:rPr>
          <w:rFonts w:asciiTheme="minorEastAsia" w:hAnsiTheme="minorEastAsia" w:eastAsiaTheme="minorEastAsia"/>
          <w:b/>
          <w:sz w:val="24"/>
          <w:szCs w:val="24"/>
        </w:rPr>
      </w:pPr>
      <w:r>
        <w:rPr>
          <w:rFonts w:hint="eastAsia" w:asciiTheme="minorEastAsia" w:hAnsiTheme="minorEastAsia" w:eastAsiaTheme="minorEastAsia"/>
          <w:b/>
          <w:sz w:val="24"/>
          <w:szCs w:val="24"/>
        </w:rPr>
        <w:t>三、合同价格形式及合同价款：</w:t>
      </w:r>
    </w:p>
    <w:p w14:paraId="34C16873">
      <w:pPr>
        <w:tabs>
          <w:tab w:val="left" w:pos="210"/>
          <w:tab w:val="left" w:pos="840"/>
          <w:tab w:val="left" w:pos="1260"/>
        </w:tabs>
        <w:adjustRightInd w:val="0"/>
        <w:snapToGrid w:val="0"/>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1.合同价格形式：</w:t>
      </w:r>
      <w:r>
        <w:rPr>
          <w:rFonts w:hint="eastAsia" w:asciiTheme="minorEastAsia" w:hAnsiTheme="minorEastAsia" w:eastAsiaTheme="minorEastAsia"/>
          <w:b/>
          <w:bCs/>
          <w:sz w:val="24"/>
          <w:u w:val="single"/>
        </w:rPr>
        <w:t>固定总价。</w:t>
      </w:r>
    </w:p>
    <w:p w14:paraId="086B63FF">
      <w:pPr>
        <w:tabs>
          <w:tab w:val="left" w:pos="210"/>
          <w:tab w:val="left" w:pos="840"/>
          <w:tab w:val="left" w:pos="1260"/>
        </w:tabs>
        <w:adjustRightInd w:val="0"/>
        <w:snapToGrid w:val="0"/>
        <w:spacing w:line="440" w:lineRule="exact"/>
        <w:ind w:left="523"/>
        <w:rPr>
          <w:rFonts w:asciiTheme="minorEastAsia" w:hAnsiTheme="minorEastAsia" w:eastAsiaTheme="minorEastAsia"/>
          <w:bCs/>
          <w:sz w:val="24"/>
          <w:szCs w:val="24"/>
        </w:rPr>
      </w:pPr>
      <w:r>
        <w:rPr>
          <w:rFonts w:hint="eastAsia" w:asciiTheme="minorEastAsia" w:hAnsiTheme="minorEastAsia" w:eastAsiaTheme="minorEastAsia"/>
          <w:b/>
          <w:sz w:val="24"/>
          <w:szCs w:val="24"/>
        </w:rPr>
        <w:t>2.合同价款</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lang w:val="en-US" w:eastAsia="zh-CN"/>
        </w:rPr>
        <w:t>含税价</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w:t>
      </w:r>
      <w:r>
        <w:rPr>
          <w:rFonts w:hint="eastAsia" w:asciiTheme="minorEastAsia" w:hAnsiTheme="minorEastAsia" w:eastAsiaTheme="minorEastAsia"/>
          <w:bCs/>
          <w:sz w:val="24"/>
          <w:szCs w:val="24"/>
        </w:rPr>
        <w:t>（大写）</w:t>
      </w:r>
      <w:r>
        <w:rPr>
          <w:rFonts w:hint="eastAsia" w:asciiTheme="minorEastAsia" w:hAnsiTheme="minorEastAsia" w:eastAsiaTheme="minorEastAsia"/>
          <w:b/>
          <w:bCs/>
          <w:sz w:val="24"/>
          <w:szCs w:val="24"/>
          <w:u w:val="single"/>
        </w:rPr>
        <w:t xml:space="preserve"> </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
          <w:bCs/>
          <w:sz w:val="24"/>
          <w:szCs w:val="24"/>
          <w:u w:val="single"/>
        </w:rPr>
        <w:t>元整</w:t>
      </w:r>
      <w:r>
        <w:rPr>
          <w:rFonts w:hint="eastAsia" w:asciiTheme="minorEastAsia" w:hAnsiTheme="minorEastAsia" w:eastAsiaTheme="minorEastAsia"/>
          <w:bCs/>
          <w:sz w:val="24"/>
          <w:szCs w:val="24"/>
        </w:rPr>
        <w:t>；（小写）¥</w:t>
      </w:r>
      <w:r>
        <w:rPr>
          <w:rFonts w:asciiTheme="minorEastAsia" w:hAnsiTheme="minorEastAsia" w:eastAsiaTheme="minorEastAsia"/>
          <w:b/>
          <w:bCs/>
          <w:sz w:val="24"/>
          <w:szCs w:val="24"/>
          <w:u w:val="single"/>
        </w:rPr>
        <w:t xml:space="preserve">       </w:t>
      </w:r>
      <w:r>
        <w:rPr>
          <w:rFonts w:hint="eastAsia" w:asciiTheme="minorEastAsia" w:hAnsiTheme="minorEastAsia" w:eastAsiaTheme="minorEastAsia"/>
          <w:bCs/>
          <w:sz w:val="24"/>
          <w:szCs w:val="24"/>
        </w:rPr>
        <w:t>元。</w:t>
      </w:r>
    </w:p>
    <w:p w14:paraId="2A1C04BF">
      <w:pPr>
        <w:spacing w:after="5"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价款应包括完成服务所需的一切费用，包括但不限于现场调查、资料搜集、报告编制费等所有工作所需的项目全过程服务费、交通差旅费、食宿费、会务费、咨询费、汇报费、相关成果文件费，以及应由供应商支付的管理费、利润、规费、税金、政策性文件规定及合同包含的所有风险、责任等完成本项目的各项应有费用。</w:t>
      </w:r>
    </w:p>
    <w:p w14:paraId="1995B95C">
      <w:pPr>
        <w:numPr>
          <w:ilvl w:val="0"/>
          <w:numId w:val="3"/>
        </w:numPr>
        <w:tabs>
          <w:tab w:val="left" w:pos="210"/>
          <w:tab w:val="left" w:pos="1134"/>
          <w:tab w:val="left" w:pos="1260"/>
        </w:tabs>
        <w:spacing w:line="440" w:lineRule="exact"/>
        <w:ind w:firstLine="523" w:firstLineChars="217"/>
        <w:rPr>
          <w:rFonts w:hint="eastAsia" w:ascii="宋体" w:hAnsi="宋体" w:eastAsia="宋体" w:cs="宋体"/>
          <w:color w:val="auto"/>
          <w:sz w:val="24"/>
          <w:szCs w:val="24"/>
          <w:highlight w:val="none"/>
          <w:lang w:val="en-US" w:eastAsia="zh-CN"/>
        </w:rPr>
      </w:pPr>
      <w:bookmarkStart w:id="202" w:name="_Hlk128397861"/>
      <w:r>
        <w:rPr>
          <w:rFonts w:hint="eastAsia" w:asciiTheme="minorEastAsia" w:hAnsiTheme="minorEastAsia" w:eastAsiaTheme="minorEastAsia"/>
          <w:b/>
          <w:sz w:val="24"/>
        </w:rPr>
        <w:t>服务期：</w:t>
      </w:r>
      <w:bookmarkEnd w:id="202"/>
      <w:r>
        <w:rPr>
          <w:rFonts w:hint="eastAsia" w:asciiTheme="minorEastAsia" w:hAnsiTheme="minorEastAsia" w:eastAsiaTheme="minorEastAsia"/>
          <w:bCs/>
          <w:sz w:val="24"/>
        </w:rPr>
        <w:t>合同签订后，</w:t>
      </w:r>
      <w:r>
        <w:rPr>
          <w:rFonts w:hint="eastAsia" w:ascii="宋体" w:hAnsi="宋体" w:eastAsia="宋体" w:cs="宋体"/>
          <w:color w:val="auto"/>
          <w:sz w:val="24"/>
          <w:szCs w:val="24"/>
          <w:highlight w:val="none"/>
          <w:lang w:val="en-US" w:eastAsia="zh-CN"/>
        </w:rPr>
        <w:t>2026年2月28日前提交评估报告并通过专家评审。</w:t>
      </w:r>
    </w:p>
    <w:p w14:paraId="7D94775A">
      <w:pPr>
        <w:numPr>
          <w:ilvl w:val="0"/>
          <w:numId w:val="0"/>
        </w:numPr>
        <w:tabs>
          <w:tab w:val="left" w:pos="210"/>
          <w:tab w:val="left" w:pos="1134"/>
          <w:tab w:val="left" w:pos="1260"/>
        </w:tabs>
        <w:spacing w:line="440" w:lineRule="exact"/>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逾</w:t>
      </w:r>
      <w:r>
        <w:rPr>
          <w:rFonts w:hint="eastAsia" w:asciiTheme="minorEastAsia" w:hAnsiTheme="minorEastAsia" w:eastAsiaTheme="minorEastAsia"/>
          <w:bCs/>
          <w:sz w:val="24"/>
          <w:highlight w:val="none"/>
        </w:rPr>
        <w:t>期违约金：2000元/天，上限为合同价款的5%。</w:t>
      </w:r>
    </w:p>
    <w:p w14:paraId="02CD0CDA">
      <w:pPr>
        <w:tabs>
          <w:tab w:val="left" w:pos="210"/>
          <w:tab w:val="left" w:pos="1134"/>
          <w:tab w:val="left" w:pos="1260"/>
        </w:tabs>
        <w:spacing w:line="440" w:lineRule="exact"/>
        <w:ind w:firstLine="523" w:firstLineChars="217"/>
        <w:rPr>
          <w:rFonts w:asciiTheme="minorEastAsia" w:hAnsiTheme="minorEastAsia" w:eastAsiaTheme="minorEastAsia"/>
          <w:bCs/>
          <w:sz w:val="24"/>
        </w:rPr>
      </w:pPr>
      <w:r>
        <w:rPr>
          <w:rFonts w:hint="eastAsia" w:asciiTheme="minorEastAsia" w:hAnsiTheme="minorEastAsia" w:eastAsiaTheme="minorEastAsia"/>
          <w:b/>
          <w:bCs/>
          <w:sz w:val="24"/>
        </w:rPr>
        <w:t>五、质量标准：</w:t>
      </w:r>
      <w:r>
        <w:rPr>
          <w:rFonts w:hint="eastAsia" w:asciiTheme="minorEastAsia" w:hAnsiTheme="minorEastAsia" w:eastAsiaTheme="minorEastAsia"/>
          <w:bCs/>
          <w:sz w:val="24"/>
        </w:rPr>
        <w:t>成果须符合国家及省市相关法律法规、政策文件和相关规划，并满足甲方要求，经专家评审论证通过，并经甲方审核通过。</w:t>
      </w:r>
    </w:p>
    <w:p w14:paraId="3701FE1E">
      <w:pPr>
        <w:tabs>
          <w:tab w:val="left" w:pos="210"/>
          <w:tab w:val="left" w:pos="1134"/>
          <w:tab w:val="left" w:pos="1260"/>
        </w:tabs>
        <w:spacing w:line="440" w:lineRule="exact"/>
        <w:ind w:firstLine="523" w:firstLineChars="217"/>
        <w:rPr>
          <w:rFonts w:asciiTheme="minorEastAsia" w:hAnsiTheme="minorEastAsia" w:eastAsiaTheme="minorEastAsia"/>
          <w:b/>
          <w:sz w:val="24"/>
          <w:szCs w:val="24"/>
        </w:rPr>
      </w:pPr>
      <w:r>
        <w:rPr>
          <w:rFonts w:hint="eastAsia" w:asciiTheme="minorEastAsia" w:hAnsiTheme="minorEastAsia" w:eastAsiaTheme="minorEastAsia"/>
          <w:b/>
          <w:sz w:val="24"/>
          <w:szCs w:val="24"/>
        </w:rPr>
        <w:t>六、服务内容及要求</w:t>
      </w:r>
    </w:p>
    <w:p w14:paraId="57259FED">
      <w:pPr>
        <w:spacing w:after="5" w:line="440" w:lineRule="exact"/>
        <w:ind w:firstLine="482" w:firstLineChars="200"/>
        <w:rPr>
          <w:rFonts w:asciiTheme="minorEastAsia" w:hAnsiTheme="minorEastAsia" w:eastAsiaTheme="minorEastAsia"/>
          <w:b/>
          <w:bCs/>
          <w:sz w:val="24"/>
        </w:rPr>
      </w:pPr>
      <w:bookmarkStart w:id="203" w:name="OLE_LINK69"/>
      <w:bookmarkStart w:id="204" w:name="OLE_LINK70"/>
      <w:r>
        <w:rPr>
          <w:rFonts w:hint="eastAsia" w:asciiTheme="minorEastAsia" w:hAnsiTheme="minorEastAsia" w:eastAsiaTheme="minorEastAsia"/>
          <w:b/>
          <w:bCs/>
          <w:sz w:val="24"/>
        </w:rPr>
        <w:t>1.项目背景</w:t>
      </w:r>
    </w:p>
    <w:p w14:paraId="068DD10C">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本项目位于如东县洋口镇，主要对园区进行地质灾害危险性区域评估，评估面积约27.46km</w:t>
      </w:r>
      <w:r>
        <w:rPr>
          <w:rFonts w:hint="eastAsia" w:asciiTheme="minorEastAsia" w:hAnsiTheme="minorEastAsia" w:eastAsiaTheme="minorEastAsia"/>
          <w:bCs/>
          <w:sz w:val="24"/>
          <w:vertAlign w:val="superscript"/>
        </w:rPr>
        <w:t>2</w:t>
      </w:r>
      <w:r>
        <w:rPr>
          <w:rFonts w:hint="eastAsia" w:asciiTheme="minorEastAsia" w:hAnsiTheme="minorEastAsia" w:eastAsiaTheme="minorEastAsia"/>
          <w:bCs/>
          <w:sz w:val="24"/>
        </w:rPr>
        <w:t>。</w:t>
      </w:r>
    </w:p>
    <w:p w14:paraId="0ECD2734">
      <w:pPr>
        <w:spacing w:after="5"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2.主要工作任务</w:t>
      </w:r>
    </w:p>
    <w:p w14:paraId="13D60758">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次地质灾害危险性区域评估工作目的是紧密结合区域总体规划，根据相关规范、要求和已有的各方面地质资料，有针对性地部署地质环境调查、水文地质、工程地质钻探等工作，在全面分析成果资料的基础上，开展地质灾害危险性区域评估，并建立区域评估成果查询系统，以简化建设项目评估程序和降低成本，提高用地审批效率，更好地服务区内项目建设。</w:t>
      </w:r>
    </w:p>
    <w:p w14:paraId="2E0826AF">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主要任务是：</w:t>
      </w:r>
    </w:p>
    <w:p w14:paraId="63D82F8E">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（1）全面收集分析工作区气象、水文、水工环地质以及总体规划、地质勘察等各类资料；</w:t>
      </w:r>
    </w:p>
    <w:p w14:paraId="764594B0">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（2）开展地质灾害调查，基本查明工作区地质灾害分布发育特征、形成条件和诱发因素；</w:t>
      </w:r>
    </w:p>
    <w:p w14:paraId="08DF742F">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（3）有针对性地开展工程地质、水文地质调查及补充钻探工作，全面查清工作区水文地质、工程地质条件；</w:t>
      </w:r>
    </w:p>
    <w:p w14:paraId="6462831C">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（4）分析论证工作区各种地质灾害的易发性、危险性，并进行现状、预测和综合评估；开展建设场地适宜性评价，并提出防治地质灾害的措施与建议；</w:t>
      </w:r>
    </w:p>
    <w:p w14:paraId="05ED2D4A">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（5）并建立地质灾害危险性区域评估成果查询系统，以简化建设项目评估程序和降低成本，提高用地审批效率，更好地服务区内项目建设。</w:t>
      </w:r>
    </w:p>
    <w:p w14:paraId="42EFF81C">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（6）评估成果通过审查，提交甲方使用。</w:t>
      </w:r>
    </w:p>
    <w:p w14:paraId="28E6EAC0">
      <w:pPr>
        <w:spacing w:after="5"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3.评估内容</w:t>
      </w:r>
    </w:p>
    <w:p w14:paraId="20300BA4">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通过对评估区基础环境地质资料分析和现场调查，查明评估区地质环境条件基本特征，查明评估区地质灾害的类型、分布规模、特征、形成条件及诱发因素，分析论证工程建设区各种地质灾害的危险性，并在此基础上进行地质灾害危险性现状评估；结合本区地质环境条件和建设规划特点，对评估区工程建设可能引发或遭受地质灾害的危险性作出预测评估，并进行地质灾害危险性综合分区评估及建设用地适宜性评价，提出地质灾害防治措施和建议。</w:t>
      </w:r>
    </w:p>
    <w:p w14:paraId="7FEF48D2">
      <w:pPr>
        <w:spacing w:after="5"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4.评估要求</w:t>
      </w:r>
    </w:p>
    <w:p w14:paraId="64AB5BCF">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次工作采用资料收集、野外调查和综合分析研究相结合的技术路线，即在充分收集和分析评估区区域地质、水文地质、工程地质、环境地质等地质背景资料的基础上，根据地质灾害发育的地质背景和地质环境的具体情况，有重点地开展地质灾害调查，综合运用遥感、钻探、取样测试等手段，查明评估区地质灾害的类型、发育特征，分析工程建设、人类活动与地质环境的相互关系和演化趋势，在此基础上对区内地质灾害的危险性进行分析评估。</w:t>
      </w:r>
    </w:p>
    <w:p w14:paraId="5DE37569">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（1）资料收集</w:t>
      </w:r>
    </w:p>
    <w:p w14:paraId="00BA06DC">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全面收集工作区相关的气象水文、地质及水文地质、工程勘察、地质灾害监测等方面的资料，了解工作区地质环境背景和地质灾害分布发育情况。收集开发区建设规划、专项规划、土地利用规划等各类规划，明确评估区工程建设类型及其对地质环境扰动特点。</w:t>
      </w:r>
    </w:p>
    <w:p w14:paraId="6D0C9153">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地质环境调查。调查评估区地貌成因和形态类型，微地貌分布特征，分析评价地貌形态、高程及其对工程的影响。调查评估区地层岩性的分布特征，褶皱、断裂发育特点，分析评估区及邻近地区区域地质背景，地质构造与地震地质特征，确定地壳稳定性类型。调查评估区及附近第四纪地层成因时代及埋藏分布与岩性特征。</w:t>
      </w:r>
    </w:p>
    <w:p w14:paraId="6EEFE5E9">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开展水文地质调查。查明地下水类型、水文地质结构特征和补迳排条件，调查地下水开发利用情况、地下水水位及动态特征，调查精度应不低于1：10000区域水文地质调查要求。水文地质钻孔数量一般不少于1个/10km</w:t>
      </w:r>
      <w:r>
        <w:rPr>
          <w:rFonts w:hint="eastAsia" w:asciiTheme="minorEastAsia" w:hAnsiTheme="minorEastAsia" w:eastAsiaTheme="minorEastAsia"/>
          <w:bCs/>
          <w:sz w:val="24"/>
          <w:vertAlign w:val="superscript"/>
        </w:rPr>
        <w:t>2</w:t>
      </w:r>
      <w:r>
        <w:rPr>
          <w:rFonts w:hint="eastAsia" w:asciiTheme="minorEastAsia" w:hAnsiTheme="minorEastAsia" w:eastAsiaTheme="minorEastAsia"/>
          <w:bCs/>
          <w:sz w:val="24"/>
        </w:rPr>
        <w:t>（面积小于5km</w:t>
      </w:r>
      <w:r>
        <w:rPr>
          <w:rFonts w:hint="eastAsia" w:asciiTheme="minorEastAsia" w:hAnsiTheme="minorEastAsia" w:eastAsiaTheme="minorEastAsia"/>
          <w:bCs/>
          <w:sz w:val="24"/>
          <w:vertAlign w:val="superscript"/>
        </w:rPr>
        <w:t>2</w:t>
      </w:r>
      <w:r>
        <w:rPr>
          <w:rFonts w:hint="eastAsia" w:asciiTheme="minorEastAsia" w:hAnsiTheme="minorEastAsia" w:eastAsiaTheme="minorEastAsia"/>
          <w:bCs/>
          <w:sz w:val="24"/>
        </w:rPr>
        <w:t>的开发区至少有1个水文地质钻孔），如收集的资料达不到要求，将补充开展水文地质钻探。分析地下水类型、含水岩组特征及分布规律，阐明含水层类型、成因时代、岩性、富水性、埋藏条件，地下水的补给、径流、排泄条件和水化学类型等。</w:t>
      </w:r>
    </w:p>
    <w:p w14:paraId="71DD6D77">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调查评估区工程地质条件、不良工程地质现象，调查精度达到1：5000工程地质调查要求。每个工程地质分区钻孔数量不少于1个/km</w:t>
      </w:r>
      <w:r>
        <w:rPr>
          <w:rFonts w:hint="eastAsia" w:asciiTheme="minorEastAsia" w:hAnsiTheme="minorEastAsia" w:eastAsiaTheme="minorEastAsia"/>
          <w:bCs/>
          <w:sz w:val="24"/>
          <w:vertAlign w:val="superscript"/>
        </w:rPr>
        <w:t>2</w:t>
      </w:r>
      <w:r>
        <w:rPr>
          <w:rFonts w:hint="eastAsia" w:asciiTheme="minorEastAsia" w:hAnsiTheme="minorEastAsia" w:eastAsiaTheme="minorEastAsia"/>
          <w:bCs/>
          <w:sz w:val="24"/>
        </w:rPr>
        <w:t>，每个工程地质分区都应满足钻孔控制要求，如收集的资料达不到要求，补充开展工程地质钻探。</w:t>
      </w:r>
    </w:p>
    <w:p w14:paraId="58886D53">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野外调查应充分了解项目建设特点的基础上，仔细分析、研究和评价项目建设与地质环境之间可能相互产生的影响，以建设性思路，高质量、前瞻性地做好地质灾害评估工作。同时根据评估区地质环境条件和建设规划特点，对评估区进行野外地质环境的调查（包含评估区工程建设的特点及人类工程活动对地质环境的影响等），并结合工程钻机对评估区的工程地质、水文地质进行调查，充分查明评估区工程地质条件、不良工程地质现象、地下水类型、水文地质结构特征和补迳排条件等情况，为区域评估报告的编写提供必要的数据支撑。</w:t>
      </w:r>
    </w:p>
    <w:p w14:paraId="6E2E6F93">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（3）地质灾害调查。基本查明评估区及周边已发生（或潜在）各种地质灾害的形成条件、分布类型、活动规模、变形特征、诱发因素与形成机制，对其发育程度进行初步评价。针对不同灾种进行重点调查。</w:t>
      </w:r>
    </w:p>
    <w:p w14:paraId="1AF265F0">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（4）综合研究及地质灾害危险性区域评估</w:t>
      </w:r>
    </w:p>
    <w:p w14:paraId="50A366BB">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根据地质灾害危险性评估、区域评估等有关规范、技术要求，开展开发区地质灾害危险性的现状、预测和综合评估，结合未来的工程建设情况，分工况进行预测和综合评估。</w:t>
      </w:r>
    </w:p>
    <w:p w14:paraId="49EC7109">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（5）建立地质灾害危险性评估查询成果库。</w:t>
      </w:r>
    </w:p>
    <w:p w14:paraId="37A46169">
      <w:pPr>
        <w:spacing w:after="5"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5. 成果文件要求</w:t>
      </w:r>
    </w:p>
    <w:p w14:paraId="5C344A76">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成果构成：包括但不限于《园区地质灾害危险性区域评估报告》：</w:t>
      </w:r>
    </w:p>
    <w:p w14:paraId="6664C256">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1）提供纸质版成果文件4份，电子文件1份；</w:t>
      </w:r>
    </w:p>
    <w:p w14:paraId="5D761D9E">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2）提供成果文件文本规格为A3或A4，包括报告，图纸等，要求胶装。</w:t>
      </w:r>
    </w:p>
    <w:p w14:paraId="21917287">
      <w:pPr>
        <w:spacing w:after="5"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3）电子文件即成果文件的电子版本，以PDF格式提供。</w:t>
      </w:r>
    </w:p>
    <w:p w14:paraId="34EFD3F7">
      <w:pPr>
        <w:spacing w:after="5" w:line="440" w:lineRule="exact"/>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6.验收要求</w:t>
      </w:r>
    </w:p>
    <w:p w14:paraId="29AC81D8">
      <w:pPr>
        <w:spacing w:after="5"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rPr>
        <w:t>交付</w:t>
      </w:r>
      <w:bookmarkStart w:id="205" w:name="OLE_LINK72"/>
      <w:bookmarkStart w:id="206" w:name="OLE_LINK71"/>
      <w:r>
        <w:rPr>
          <w:rFonts w:hint="eastAsia" w:asciiTheme="minorEastAsia" w:hAnsiTheme="minorEastAsia" w:eastAsiaTheme="minorEastAsia"/>
          <w:bCs/>
          <w:sz w:val="24"/>
        </w:rPr>
        <w:t>成果须符合国家及省市相关法律法规、政策文件和相关规划，并满足甲方要求，经专家评审论证通过，并经甲方审核通过。</w:t>
      </w:r>
      <w:bookmarkEnd w:id="205"/>
      <w:bookmarkEnd w:id="206"/>
    </w:p>
    <w:bookmarkEnd w:id="203"/>
    <w:bookmarkEnd w:id="204"/>
    <w:p w14:paraId="47708FC0">
      <w:pPr>
        <w:tabs>
          <w:tab w:val="left" w:pos="210"/>
          <w:tab w:val="left" w:pos="840"/>
          <w:tab w:val="left" w:pos="1260"/>
        </w:tabs>
        <w:adjustRightInd w:val="0"/>
        <w:snapToGrid w:val="0"/>
        <w:spacing w:line="440" w:lineRule="exact"/>
        <w:ind w:firstLine="569" w:firstLineChars="23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七、甲方的权利与义务</w:t>
      </w:r>
    </w:p>
    <w:p w14:paraId="4A790F09">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1．甲方应按乙方的要求及时提交有关的项目资料，并对其完整性、正确性及时性负责，甲方不得要求乙方违反国家有关标准进行评价。</w:t>
      </w:r>
    </w:p>
    <w:p w14:paraId="1B6D79C6">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2．甲方有权向乙方询问工作进展情况及相关的内容。</w:t>
      </w:r>
    </w:p>
    <w:p w14:paraId="453088F8">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3．甲方有权阐述对具体问题的意见和建议。 </w:t>
      </w:r>
    </w:p>
    <w:p w14:paraId="1E592F12">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4．当甲方认定乙方服务人员不按本合同履行其职责时，甲方有权要求更换服务人员，直至解除本合同并要求乙方承担相应的赔偿责任。</w:t>
      </w:r>
    </w:p>
    <w:p w14:paraId="6E51C530">
      <w:pPr>
        <w:tabs>
          <w:tab w:val="left" w:pos="210"/>
          <w:tab w:val="left" w:pos="840"/>
          <w:tab w:val="left" w:pos="1260"/>
        </w:tabs>
        <w:adjustRightInd w:val="0"/>
        <w:snapToGrid w:val="0"/>
        <w:spacing w:line="440" w:lineRule="exact"/>
        <w:ind w:firstLine="569" w:firstLineChars="236"/>
        <w:rPr>
          <w:rFonts w:asciiTheme="minorEastAsia" w:hAnsiTheme="minorEastAsia" w:eastAsiaTheme="minorEastAsia"/>
          <w:bCs/>
          <w:sz w:val="24"/>
          <w:szCs w:val="24"/>
        </w:rPr>
      </w:pPr>
      <w:r>
        <w:rPr>
          <w:rFonts w:hint="eastAsia" w:asciiTheme="minorEastAsia" w:hAnsiTheme="minorEastAsia" w:eastAsiaTheme="minorEastAsia"/>
          <w:b/>
          <w:bCs/>
          <w:sz w:val="24"/>
          <w:szCs w:val="24"/>
        </w:rPr>
        <w:t>八、乙方的权利与义务</w:t>
      </w:r>
    </w:p>
    <w:p w14:paraId="33F071C8">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1．乙方应根据委托事项的实际情况配备足够的、有相应经验的服务人员。 </w:t>
      </w:r>
    </w:p>
    <w:p w14:paraId="7B372737">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2．乙方在报告编制过程中，如认为甲方提供的资料不明确时应向甲方提出澄清或补充有关资料。</w:t>
      </w:r>
    </w:p>
    <w:p w14:paraId="2AC82636">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3．乙方在报告编制过程中，有权向甲方提出与本业务有关问题的核对或查询。对甲方提请注意的事项，乙方应依其要求办理。</w:t>
      </w:r>
    </w:p>
    <w:p w14:paraId="6E7B6AAA">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4．乙方必须按合同、相关法规规范、甲方的要求和意见，以专业的操守按质按量按时完成报告编制工作并提交成果文件。在工作中，乙方须认真研究合同及其补充、修订协议、甲方交给的相关文件资料，全面收集和认真分析研究各种相关工程实际情况信息资料，认真听取甲方意见。 </w:t>
      </w:r>
    </w:p>
    <w:p w14:paraId="3F79D4D0">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5．在履行本合同期间或合同规定期限内，不得泄露与本合同规定业务活动有关的保密资料。</w:t>
      </w:r>
    </w:p>
    <w:p w14:paraId="26FF9DAC">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6．乙方负责对编制报告进行审查，负责该合同项目的联络工作。</w:t>
      </w:r>
    </w:p>
    <w:p w14:paraId="6CD2733C">
      <w:pPr>
        <w:tabs>
          <w:tab w:val="left" w:pos="210"/>
          <w:tab w:val="left" w:pos="840"/>
          <w:tab w:val="left" w:pos="1260"/>
        </w:tabs>
        <w:adjustRightInd w:val="0"/>
        <w:snapToGrid w:val="0"/>
        <w:spacing w:line="440" w:lineRule="exact"/>
        <w:ind w:firstLine="520" w:firstLineChars="217"/>
        <w:rPr>
          <w:rFonts w:asciiTheme="minorEastAsia" w:hAnsiTheme="minorEastAsia" w:eastAsiaTheme="minorEastAsia"/>
          <w:sz w:val="24"/>
          <w:szCs w:val="21"/>
        </w:rPr>
      </w:pPr>
      <w:r>
        <w:rPr>
          <w:rFonts w:hint="eastAsia" w:asciiTheme="minorEastAsia" w:hAnsiTheme="minorEastAsia" w:eastAsiaTheme="minorEastAsia"/>
          <w:sz w:val="24"/>
          <w:szCs w:val="21"/>
        </w:rPr>
        <w:t>7．乙方对成果报告中出现的遗漏或错误负责修改或补充。由于乙方错误造成工程质量事故损失，乙方除负责采取补救措施外，应免收受损失部分的费用，并根据损失程度向甲方支付赔偿金，赔偿金数额由双方商定，但赔偿总额累计不超过合同总额的20%。</w:t>
      </w:r>
    </w:p>
    <w:p w14:paraId="25CF5DE7">
      <w:pPr>
        <w:tabs>
          <w:tab w:val="left" w:pos="210"/>
          <w:tab w:val="left" w:pos="840"/>
          <w:tab w:val="left" w:pos="1260"/>
        </w:tabs>
        <w:spacing w:line="440" w:lineRule="exact"/>
        <w:ind w:firstLine="523" w:firstLineChars="217"/>
        <w:rPr>
          <w:rFonts w:asciiTheme="minorEastAsia" w:hAnsiTheme="minorEastAsia" w:eastAsiaTheme="minorEastAsia"/>
          <w:b/>
          <w:sz w:val="24"/>
          <w:szCs w:val="24"/>
        </w:rPr>
      </w:pPr>
      <w:r>
        <w:rPr>
          <w:rFonts w:hint="eastAsia" w:asciiTheme="minorEastAsia" w:hAnsiTheme="minorEastAsia" w:eastAsiaTheme="minorEastAsia"/>
          <w:b/>
          <w:sz w:val="24"/>
          <w:szCs w:val="24"/>
        </w:rPr>
        <w:t>九、付款方式</w:t>
      </w:r>
    </w:p>
    <w:p w14:paraId="631A5021">
      <w:pPr>
        <w:tabs>
          <w:tab w:val="left" w:pos="210"/>
          <w:tab w:val="left" w:pos="840"/>
          <w:tab w:val="left" w:pos="1260"/>
        </w:tabs>
        <w:adjustRightInd w:val="0"/>
        <w:snapToGrid w:val="0"/>
        <w:spacing w:line="440" w:lineRule="exact"/>
        <w:ind w:firstLine="520" w:firstLineChars="217"/>
        <w:rPr>
          <w:rFonts w:hint="eastAsia" w:cs="Times New Roman" w:asciiTheme="minorEastAsia" w:hAnsiTheme="minorEastAsia" w:eastAsiaTheme="minorEastAsia"/>
          <w:sz w:val="24"/>
          <w:szCs w:val="21"/>
        </w:rPr>
      </w:pPr>
      <w:r>
        <w:rPr>
          <w:rFonts w:hint="eastAsia" w:cs="Times New Roman" w:asciiTheme="minorEastAsia" w:hAnsiTheme="minorEastAsia" w:eastAsiaTheme="minorEastAsia"/>
          <w:sz w:val="24"/>
          <w:szCs w:val="21"/>
        </w:rPr>
        <w:t>1.合同价款支付办法：</w:t>
      </w:r>
    </w:p>
    <w:p w14:paraId="33A296FD">
      <w:pPr>
        <w:tabs>
          <w:tab w:val="left" w:pos="210"/>
          <w:tab w:val="left" w:pos="840"/>
          <w:tab w:val="left" w:pos="1260"/>
        </w:tabs>
        <w:adjustRightInd w:val="0"/>
        <w:snapToGrid w:val="0"/>
        <w:spacing w:line="440" w:lineRule="exact"/>
        <w:ind w:firstLine="520" w:firstLineChars="217"/>
        <w:rPr>
          <w:rFonts w:hint="default" w:cs="Times New Roman" w:asciiTheme="minorEastAsia" w:hAnsiTheme="minorEastAsia" w:eastAsiaTheme="minorEastAsia"/>
          <w:sz w:val="24"/>
          <w:szCs w:val="21"/>
          <w:lang w:val="en-US" w:eastAsia="zh-CN"/>
        </w:rPr>
      </w:pPr>
      <w:r>
        <w:rPr>
          <w:rFonts w:hint="eastAsia" w:cs="Times New Roman" w:asciiTheme="minorEastAsia" w:hAnsiTheme="minorEastAsia" w:eastAsiaTheme="minorEastAsia"/>
          <w:sz w:val="24"/>
          <w:szCs w:val="21"/>
          <w:lang w:val="en-US" w:eastAsia="zh-CN"/>
        </w:rPr>
        <w:t>合同签订并进场勘探后付合同价的40%，出具评估报告后付至合同价的70%，通过专家评审后付清余款。合同所涉款项均支付至乙方指定收款银行账户。</w:t>
      </w:r>
    </w:p>
    <w:p w14:paraId="11979C67">
      <w:pPr>
        <w:tabs>
          <w:tab w:val="left" w:pos="210"/>
          <w:tab w:val="left" w:pos="840"/>
          <w:tab w:val="left" w:pos="1260"/>
        </w:tabs>
        <w:adjustRightInd w:val="0"/>
        <w:snapToGrid w:val="0"/>
        <w:spacing w:line="440" w:lineRule="exact"/>
        <w:ind w:firstLine="520" w:firstLineChars="217"/>
        <w:rPr>
          <w:rFonts w:hint="eastAsia" w:cs="Times New Roman" w:asciiTheme="minorEastAsia" w:hAnsiTheme="minorEastAsia" w:eastAsiaTheme="minorEastAsia"/>
          <w:sz w:val="24"/>
          <w:szCs w:val="21"/>
        </w:rPr>
      </w:pPr>
      <w:r>
        <w:rPr>
          <w:rFonts w:hint="eastAsia" w:cs="Times New Roman" w:asciiTheme="minorEastAsia" w:hAnsiTheme="minorEastAsia" w:eastAsiaTheme="minorEastAsia"/>
          <w:sz w:val="24"/>
          <w:szCs w:val="21"/>
        </w:rPr>
        <w:t>付款前，乙方须提供符合甲方财务要求的</w:t>
      </w:r>
      <w:r>
        <w:rPr>
          <w:rFonts w:hint="eastAsia" w:cs="Times New Roman" w:asciiTheme="minorEastAsia" w:hAnsiTheme="minorEastAsia" w:eastAsiaTheme="minorEastAsia"/>
          <w:sz w:val="24"/>
          <w:szCs w:val="21"/>
          <w:lang w:val="en-US" w:eastAsia="zh-CN"/>
        </w:rPr>
        <w:t>增值税</w:t>
      </w:r>
      <w:r>
        <w:rPr>
          <w:rFonts w:hint="eastAsia" w:cs="Times New Roman" w:asciiTheme="minorEastAsia" w:hAnsiTheme="minorEastAsia" w:eastAsiaTheme="minorEastAsia"/>
          <w:sz w:val="24"/>
          <w:szCs w:val="21"/>
        </w:rPr>
        <w:t>发票</w:t>
      </w:r>
      <w:r>
        <w:rPr>
          <w:rFonts w:hint="eastAsia" w:cs="Times New Roman" w:asciiTheme="minorEastAsia" w:hAnsiTheme="minorEastAsia" w:eastAsiaTheme="minorEastAsia"/>
          <w:sz w:val="24"/>
          <w:szCs w:val="21"/>
          <w:lang w:eastAsia="zh-CN"/>
        </w:rPr>
        <w:t>，</w:t>
      </w:r>
      <w:r>
        <w:rPr>
          <w:rFonts w:hint="eastAsia" w:cs="Times New Roman" w:asciiTheme="minorEastAsia" w:hAnsiTheme="minorEastAsia" w:eastAsiaTheme="minorEastAsia"/>
          <w:sz w:val="24"/>
          <w:szCs w:val="21"/>
          <w:lang w:val="en-US" w:eastAsia="zh-CN"/>
        </w:rPr>
        <w:t>否则甲方有权拒绝付款，且不因此承担逾期付款的违约责任</w:t>
      </w:r>
      <w:r>
        <w:rPr>
          <w:rFonts w:hint="eastAsia" w:cs="Times New Roman" w:asciiTheme="minorEastAsia" w:hAnsiTheme="minorEastAsia" w:eastAsiaTheme="minorEastAsia"/>
          <w:sz w:val="24"/>
          <w:szCs w:val="21"/>
        </w:rPr>
        <w:t>。</w:t>
      </w:r>
    </w:p>
    <w:p w14:paraId="224D6964">
      <w:pPr>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w:t>
      </w:r>
      <w:r>
        <w:rPr>
          <w:rFonts w:hint="eastAsia" w:asciiTheme="minorEastAsia" w:hAnsiTheme="minorEastAsia" w:eastAsiaTheme="minorEastAsia"/>
          <w:b/>
          <w:sz w:val="24"/>
          <w:szCs w:val="24"/>
          <w:lang w:val="en-US" w:eastAsia="zh-CN"/>
        </w:rPr>
        <w:t>收款银行</w:t>
      </w:r>
      <w:r>
        <w:rPr>
          <w:rFonts w:hint="eastAsia" w:asciiTheme="minorEastAsia" w:hAnsiTheme="minorEastAsia" w:eastAsiaTheme="minorEastAsia"/>
          <w:b/>
          <w:sz w:val="24"/>
          <w:szCs w:val="24"/>
        </w:rPr>
        <w:t>账户信息：</w:t>
      </w:r>
    </w:p>
    <w:p w14:paraId="513AB4E3">
      <w:pPr>
        <w:spacing w:line="440" w:lineRule="exact"/>
        <w:ind w:firstLine="480" w:firstLineChars="200"/>
        <w:rPr>
          <w:rFonts w:asciiTheme="minorEastAsia" w:hAnsiTheme="minorEastAsia" w:eastAsiaTheme="minorEastAsia"/>
          <w:bCs/>
          <w:sz w:val="24"/>
          <w:u w:val="single"/>
        </w:rPr>
      </w:pPr>
      <w:r>
        <w:rPr>
          <w:rFonts w:hint="eastAsia" w:asciiTheme="minorEastAsia" w:hAnsiTheme="minorEastAsia" w:eastAsiaTheme="minorEastAsia"/>
          <w:bCs/>
          <w:sz w:val="24"/>
        </w:rPr>
        <w:t>账户名称：</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p>
    <w:p w14:paraId="27CABA6C">
      <w:pPr>
        <w:spacing w:line="44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开户银行：</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p>
    <w:p w14:paraId="22C33A36">
      <w:pPr>
        <w:tabs>
          <w:tab w:val="left" w:pos="210"/>
          <w:tab w:val="left" w:pos="840"/>
          <w:tab w:val="left" w:pos="1260"/>
        </w:tabs>
        <w:spacing w:line="440" w:lineRule="exact"/>
        <w:ind w:firstLine="480" w:firstLineChars="200"/>
        <w:rPr>
          <w:rFonts w:asciiTheme="minorEastAsia" w:hAnsiTheme="minorEastAsia" w:eastAsiaTheme="minorEastAsia"/>
          <w:b/>
          <w:bCs/>
          <w:color w:val="0000FF"/>
          <w:sz w:val="24"/>
          <w:u w:val="single"/>
        </w:rPr>
      </w:pPr>
      <w:r>
        <w:rPr>
          <w:rFonts w:hint="eastAsia" w:asciiTheme="minorEastAsia" w:hAnsiTheme="minorEastAsia" w:eastAsiaTheme="minorEastAsia"/>
          <w:bCs/>
          <w:sz w:val="24"/>
        </w:rPr>
        <w:t>银行账号：</w:t>
      </w:r>
      <w:r>
        <w:rPr>
          <w:rFonts w:asciiTheme="minorEastAsia" w:hAnsiTheme="minorEastAsia" w:eastAsiaTheme="minorEastAsia"/>
          <w:bCs/>
          <w:sz w:val="24"/>
          <w:u w:val="single"/>
        </w:rPr>
        <w:t xml:space="preserve">                     </w:t>
      </w:r>
    </w:p>
    <w:p w14:paraId="6B25C30B">
      <w:pPr>
        <w:tabs>
          <w:tab w:val="left" w:pos="210"/>
          <w:tab w:val="left" w:pos="840"/>
          <w:tab w:val="left" w:pos="1260"/>
        </w:tabs>
        <w:spacing w:line="44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十、违约责任</w:t>
      </w:r>
    </w:p>
    <w:p w14:paraId="08907CC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1.合同乙方不履行合同义务或者履行合同义务不符合规定的，应当承担继续履行、采取补救措施或者赔偿损失等违约责任。</w:t>
      </w:r>
    </w:p>
    <w:p w14:paraId="0B99DF4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2.因乙方原因造成本合同无法按时签订，视为乙方违约，甲方有权终止合同；乙方违约对甲方造成损失的，乙方还需另行支付相应的赔偿。</w:t>
      </w:r>
    </w:p>
    <w:p w14:paraId="5048471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3.合同期间，甲方不得无故终止合同，如终止合同，非乙方责任，乙方有权要求甲方在付清实际应支付服务费的基础上再赔偿对应全部服务费的30%。</w:t>
      </w:r>
    </w:p>
    <w:p w14:paraId="544396C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合同期间，乙方不得无故终止合同，如终止此合同，非甲方责任，甲方无需支付服务费且乙方需</w:t>
      </w:r>
      <w:r>
        <w:rPr>
          <w:rFonts w:hint="eastAsia" w:asciiTheme="minorEastAsia" w:hAnsiTheme="minorEastAsia" w:eastAsiaTheme="minorEastAsia"/>
          <w:sz w:val="24"/>
          <w:lang w:val="en-US" w:eastAsia="zh-CN"/>
        </w:rPr>
        <w:t>向</w:t>
      </w:r>
      <w:r>
        <w:rPr>
          <w:rFonts w:hint="eastAsia" w:asciiTheme="minorEastAsia" w:hAnsiTheme="minorEastAsia" w:eastAsiaTheme="minorEastAsia"/>
          <w:sz w:val="24"/>
        </w:rPr>
        <w:t>甲方</w:t>
      </w:r>
      <w:r>
        <w:rPr>
          <w:rFonts w:hint="eastAsia" w:asciiTheme="minorEastAsia" w:hAnsiTheme="minorEastAsia" w:eastAsiaTheme="minorEastAsia"/>
          <w:sz w:val="24"/>
          <w:lang w:val="en-US" w:eastAsia="zh-CN"/>
        </w:rPr>
        <w:t>支付</w:t>
      </w:r>
      <w:r>
        <w:rPr>
          <w:rFonts w:hint="eastAsia" w:asciiTheme="minorEastAsia" w:hAnsiTheme="minorEastAsia" w:eastAsiaTheme="minorEastAsia"/>
          <w:sz w:val="24"/>
        </w:rPr>
        <w:t>全部服务费的</w:t>
      </w:r>
      <w:r>
        <w:rPr>
          <w:rFonts w:asciiTheme="minorEastAsia" w:hAnsiTheme="minorEastAsia" w:eastAsiaTheme="minorEastAsia"/>
          <w:sz w:val="24"/>
        </w:rPr>
        <w:t>1</w:t>
      </w:r>
      <w:r>
        <w:rPr>
          <w:rFonts w:hint="eastAsia" w:asciiTheme="minorEastAsia" w:hAnsiTheme="minorEastAsia" w:eastAsiaTheme="minorEastAsia"/>
          <w:sz w:val="24"/>
        </w:rPr>
        <w:t>0%</w:t>
      </w:r>
      <w:r>
        <w:rPr>
          <w:rFonts w:hint="eastAsia" w:asciiTheme="minorEastAsia" w:hAnsiTheme="minorEastAsia" w:eastAsiaTheme="minorEastAsia"/>
          <w:sz w:val="24"/>
          <w:lang w:val="en-US" w:eastAsia="zh-CN"/>
        </w:rPr>
        <w:t>计取的违约金</w:t>
      </w:r>
      <w:r>
        <w:rPr>
          <w:rFonts w:hint="eastAsia" w:asciiTheme="minorEastAsia" w:hAnsiTheme="minorEastAsia" w:eastAsiaTheme="minorEastAsia"/>
          <w:sz w:val="24"/>
        </w:rPr>
        <w:t>。</w:t>
      </w:r>
    </w:p>
    <w:p w14:paraId="32D437D6">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4.因乙方原因发生重大质量事故，除依约承担赔偿责任外，还将按有关质量管理办法规定执行。同时，甲方有权保留更换乙方的权利，并报相关行政主管部门处罚。</w:t>
      </w:r>
    </w:p>
    <w:p w14:paraId="6F89EA31">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若发生死亡安全事故，除按国家有关安全管理规定及甲方有关安全管理办法执行外，并报相关行政主管部门处罚；发生重大安全事故或特大安全事故，除按国家有关安全管理规定及甲方有关安全管理办法执行外，甲方保留更换乙方的权利，给甲方造成的损失，还应承担赔偿责任。</w:t>
      </w:r>
    </w:p>
    <w:p w14:paraId="3C9B251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6.在明确违约责任后，乙方应在接到书面通知书起七天内支付违约金、赔偿金等。</w:t>
      </w:r>
    </w:p>
    <w:p w14:paraId="2551F027">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7.违约金不足以支付守约方实际损失的，违约方应当赔偿守约方所有的实际损失。</w:t>
      </w:r>
    </w:p>
    <w:p w14:paraId="2A26851F">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8.本合同生效后，如果一方违约，违约方除了应当承担违约责任支付违约金外，还应当承担守约方向违约方主张权利所产生的一切费用，包括但不限于律师费、诉讼费、检测费、鉴定费等。</w:t>
      </w:r>
    </w:p>
    <w:p w14:paraId="75270F73">
      <w:pPr>
        <w:tabs>
          <w:tab w:val="left" w:pos="210"/>
          <w:tab w:val="left" w:pos="840"/>
          <w:tab w:val="left" w:pos="1260"/>
        </w:tabs>
        <w:adjustRightInd w:val="0"/>
        <w:snapToGrid w:val="0"/>
        <w:spacing w:line="440" w:lineRule="exact"/>
        <w:ind w:firstLine="523" w:firstLineChars="217"/>
        <w:rPr>
          <w:rFonts w:asciiTheme="minorEastAsia" w:hAnsiTheme="minorEastAsia" w:eastAsiaTheme="minorEastAsia"/>
          <w:b/>
          <w:sz w:val="24"/>
          <w:szCs w:val="24"/>
        </w:rPr>
      </w:pPr>
      <w:r>
        <w:rPr>
          <w:rFonts w:hint="eastAsia" w:asciiTheme="minorEastAsia" w:hAnsiTheme="minorEastAsia" w:eastAsiaTheme="minorEastAsia"/>
          <w:b/>
          <w:sz w:val="24"/>
          <w:szCs w:val="24"/>
        </w:rPr>
        <w:t>十一、不可抗力</w:t>
      </w:r>
    </w:p>
    <w:p w14:paraId="2012C002">
      <w:pPr>
        <w:tabs>
          <w:tab w:val="left" w:pos="0"/>
          <w:tab w:val="left" w:pos="927"/>
        </w:tabs>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1.因不可抗力不能履行合同的，根据不可抗力的影响，部分或者全部免除责任，但合同一方延迟履行后发生不可抗力的，不能免除责任。</w:t>
      </w:r>
    </w:p>
    <w:p w14:paraId="7804B9AB">
      <w:pPr>
        <w:tabs>
          <w:tab w:val="left" w:pos="0"/>
          <w:tab w:val="left" w:pos="927"/>
        </w:tabs>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2.合同一方因不可抗力不能履行合同的，应当及时通知对方，以减轻可能给对方造成的损失，并应当在合理期限内提供证明。</w:t>
      </w:r>
    </w:p>
    <w:p w14:paraId="24A16341">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3.由于第三方或不可抗力原因造成合同部分或全部暂停的，其费用由双方协商确定。</w:t>
      </w:r>
    </w:p>
    <w:p w14:paraId="4624F11B">
      <w:pPr>
        <w:tabs>
          <w:tab w:val="left" w:pos="210"/>
          <w:tab w:val="left" w:pos="840"/>
          <w:tab w:val="left" w:pos="1260"/>
        </w:tabs>
        <w:adjustRightInd w:val="0"/>
        <w:snapToGrid w:val="0"/>
        <w:spacing w:line="440" w:lineRule="exact"/>
        <w:ind w:firstLine="523" w:firstLineChars="217"/>
        <w:rPr>
          <w:rFonts w:asciiTheme="minorEastAsia" w:hAnsiTheme="minorEastAsia" w:eastAsiaTheme="minorEastAsia"/>
          <w:b/>
          <w:sz w:val="24"/>
        </w:rPr>
      </w:pPr>
      <w:r>
        <w:rPr>
          <w:rFonts w:hint="eastAsia" w:asciiTheme="minorEastAsia" w:hAnsiTheme="minorEastAsia" w:eastAsiaTheme="minorEastAsia"/>
          <w:b/>
          <w:sz w:val="24"/>
          <w:szCs w:val="24"/>
        </w:rPr>
        <w:t>十二、</w:t>
      </w:r>
      <w:r>
        <w:rPr>
          <w:rFonts w:hint="eastAsia" w:asciiTheme="minorEastAsia" w:hAnsiTheme="minorEastAsia" w:eastAsiaTheme="minorEastAsia"/>
          <w:b/>
          <w:sz w:val="24"/>
        </w:rPr>
        <w:t>保密要求</w:t>
      </w:r>
    </w:p>
    <w:p w14:paraId="1879B0A9">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bCs/>
          <w:sz w:val="24"/>
        </w:rPr>
        <w:t>乙方必须对本项目技术文件以及由甲方提供的所有内部资料、技术文档和信息予以保密，未经甲方书面许可，乙方不得以任何形式向第三方透露本合同以及本项目的任何内容，且乙方应保证本项目团队成员达到上述保密要求。</w:t>
      </w:r>
    </w:p>
    <w:p w14:paraId="18F05D47">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十三、解决争议的方式</w:t>
      </w:r>
    </w:p>
    <w:p w14:paraId="07D5152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合同签订后甲乙双方即直接产生权利与义务的关系，合同执行过程中出现的问题应按照合同约定、法律法规的规定办理。在合同履行过程中，双方如有争议，由甲乙双方协商处理，若协商不成，可选择以下方式处理：</w:t>
      </w:r>
      <w:r>
        <w:rPr>
          <w:rFonts w:hint="eastAsia" w:asciiTheme="minorEastAsia" w:hAnsiTheme="minorEastAsia" w:eastAsiaTheme="minorEastAsia"/>
          <w:sz w:val="24"/>
          <w:u w:val="single"/>
        </w:rPr>
        <w:t>（2）</w:t>
      </w:r>
    </w:p>
    <w:p w14:paraId="104E0DA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（1）向南通仲裁委员会申请仲裁。</w:t>
      </w:r>
    </w:p>
    <w:p w14:paraId="7C877EA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（2）向甲方所在地法院提起诉讼。</w:t>
      </w:r>
    </w:p>
    <w:p w14:paraId="1BFBBF5A">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十四、其他事项</w:t>
      </w:r>
    </w:p>
    <w:p w14:paraId="0DAB25EA">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1.合同在执行过程中出现的未尽事宜，双方在不违背本合同和比价采购文件的原则下协商解决，协商结果以书面形式签订补充协议，且补充协议与本合同具有同等效力。</w:t>
      </w:r>
    </w:p>
    <w:p w14:paraId="6566FB1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2.合同中未有约定的按照有关的法律法规以及国家行业标准或技术文件规定予以解决。</w:t>
      </w:r>
    </w:p>
    <w:p w14:paraId="09CCAC94">
      <w:pPr>
        <w:spacing w:line="4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3.甲乙双方确认：对本合同条款及后果均已知悉，一致确认不存在欺诈、胁迫、乘人之危、重大误解、显失公平等任何可能导致合同无效或被撤销的情形。</w:t>
      </w:r>
    </w:p>
    <w:p w14:paraId="6D2D38A1">
      <w:pPr>
        <w:spacing w:line="440" w:lineRule="exact"/>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文书函件送达：甲乙双方共同确认本合同首部所载明的住所地，为甲乙双方有效的送达地址。今后凡与本合同项下有关的文书函件以及相关法律文书的送达地址均以此为准。甲乙双方承诺在住所地发生变更时，应及时书面通知对方，否则因住所地不准确，或住所地变更后未及时书面告知合同相对方，导致合同往来文书函件及法律文书被拒绝签收、无法送达等情形的，应自行承担有效送达的法律后果。</w:t>
      </w:r>
    </w:p>
    <w:p w14:paraId="0683A4AE">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十五、合同不可分割部分</w:t>
      </w:r>
    </w:p>
    <w:p w14:paraId="20A50784">
      <w:pPr>
        <w:tabs>
          <w:tab w:val="left" w:pos="210"/>
          <w:tab w:val="left" w:pos="420"/>
          <w:tab w:val="left" w:pos="1155"/>
        </w:tabs>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比价采购文件、响应文件、合同条款及成交通知书，乙方在响应、评标过程中所作其他有关承诺、声明、书面澄清等均为合同不可分割的部分，与主合同具有同等法律效力。</w:t>
      </w:r>
    </w:p>
    <w:p w14:paraId="7EA7D936">
      <w:pPr>
        <w:tabs>
          <w:tab w:val="left" w:pos="210"/>
          <w:tab w:val="left" w:pos="840"/>
          <w:tab w:val="left" w:pos="1260"/>
        </w:tabs>
        <w:spacing w:line="440" w:lineRule="exact"/>
        <w:ind w:left="523"/>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rPr>
        <w:t>十六、合同</w:t>
      </w:r>
      <w:r>
        <w:rPr>
          <w:rFonts w:hint="eastAsia" w:asciiTheme="minorEastAsia" w:hAnsiTheme="minorEastAsia" w:eastAsiaTheme="minorEastAsia"/>
          <w:b/>
          <w:sz w:val="24"/>
          <w:szCs w:val="24"/>
          <w:lang w:val="en-US" w:eastAsia="zh-CN"/>
        </w:rPr>
        <w:t>份数</w:t>
      </w:r>
    </w:p>
    <w:p w14:paraId="567DAFC4">
      <w:pPr>
        <w:tabs>
          <w:tab w:val="left" w:pos="210"/>
          <w:tab w:val="left" w:pos="735"/>
          <w:tab w:val="left" w:pos="1155"/>
        </w:tabs>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合同一式陆份，自双方签订之日起生效。甲方执叁份，乙方执贰份，具有同等法律效力。</w:t>
      </w:r>
    </w:p>
    <w:p w14:paraId="1386B3BA">
      <w:pPr>
        <w:tabs>
          <w:tab w:val="left" w:pos="210"/>
          <w:tab w:val="left" w:pos="840"/>
          <w:tab w:val="left" w:pos="1260"/>
        </w:tabs>
        <w:spacing w:line="440" w:lineRule="exact"/>
        <w:ind w:left="523"/>
        <w:rPr>
          <w:rFonts w:asciiTheme="minorEastAsia" w:hAnsiTheme="minorEastAsia" w:eastAsiaTheme="minorEastAsia"/>
          <w:b/>
          <w:sz w:val="24"/>
          <w:szCs w:val="24"/>
        </w:rPr>
      </w:pPr>
      <w:r>
        <w:rPr>
          <w:rFonts w:hint="eastAsia" w:asciiTheme="minorEastAsia" w:hAnsiTheme="minorEastAsia" w:eastAsiaTheme="minorEastAsia"/>
          <w:b/>
          <w:sz w:val="24"/>
          <w:szCs w:val="24"/>
        </w:rPr>
        <w:t>十七、合同生效</w:t>
      </w:r>
    </w:p>
    <w:p w14:paraId="6EB8067E">
      <w:pPr>
        <w:tabs>
          <w:tab w:val="left" w:pos="210"/>
          <w:tab w:val="left" w:pos="735"/>
          <w:tab w:val="left" w:pos="1155"/>
        </w:tabs>
        <w:adjustRightInd w:val="0"/>
        <w:snapToGrid w:val="0"/>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本合同由甲乙双方</w:t>
      </w:r>
      <w:r>
        <w:rPr>
          <w:rFonts w:hint="eastAsia" w:asciiTheme="minorEastAsia" w:hAnsiTheme="minorEastAsia" w:eastAsiaTheme="minorEastAsia"/>
          <w:bCs/>
          <w:sz w:val="24"/>
          <w:szCs w:val="24"/>
          <w:lang w:val="en-US" w:eastAsia="zh-CN"/>
        </w:rPr>
        <w:t>法定【授权】代表人</w:t>
      </w:r>
      <w:r>
        <w:rPr>
          <w:rFonts w:hint="eastAsia" w:asciiTheme="minorEastAsia" w:hAnsiTheme="minorEastAsia" w:eastAsiaTheme="minorEastAsia"/>
          <w:bCs/>
          <w:sz w:val="24"/>
          <w:szCs w:val="24"/>
        </w:rPr>
        <w:t>签字</w:t>
      </w:r>
      <w:r>
        <w:rPr>
          <w:rFonts w:hint="eastAsia" w:asciiTheme="minorEastAsia" w:hAnsiTheme="minorEastAsia" w:eastAsiaTheme="minorEastAsia"/>
          <w:bCs/>
          <w:sz w:val="24"/>
          <w:szCs w:val="24"/>
          <w:lang w:val="en-US" w:eastAsia="zh-CN"/>
        </w:rPr>
        <w:t>或盖章</w:t>
      </w:r>
      <w:r>
        <w:rPr>
          <w:rFonts w:hint="eastAsia" w:asciiTheme="minorEastAsia" w:hAnsiTheme="minorEastAsia" w:eastAsiaTheme="minorEastAsia"/>
          <w:bCs/>
          <w:sz w:val="24"/>
          <w:szCs w:val="24"/>
        </w:rPr>
        <w:t>并加盖</w:t>
      </w:r>
      <w:r>
        <w:rPr>
          <w:rFonts w:hint="eastAsia" w:asciiTheme="minorEastAsia" w:hAnsiTheme="minorEastAsia" w:eastAsiaTheme="minorEastAsia"/>
          <w:bCs/>
          <w:sz w:val="24"/>
          <w:szCs w:val="24"/>
          <w:lang w:val="en-US" w:eastAsia="zh-CN"/>
        </w:rPr>
        <w:t>双方</w:t>
      </w:r>
      <w:r>
        <w:rPr>
          <w:rFonts w:hint="eastAsia" w:asciiTheme="minorEastAsia" w:hAnsiTheme="minorEastAsia" w:eastAsiaTheme="minorEastAsia"/>
          <w:bCs/>
          <w:sz w:val="24"/>
          <w:szCs w:val="24"/>
        </w:rPr>
        <w:t>公章后生效。</w:t>
      </w:r>
    </w:p>
    <w:p w14:paraId="0F46928E">
      <w:pPr>
        <w:tabs>
          <w:tab w:val="left" w:pos="210"/>
          <w:tab w:val="left" w:pos="840"/>
          <w:tab w:val="left" w:pos="1155"/>
        </w:tabs>
        <w:adjustRightInd w:val="0"/>
        <w:snapToGrid w:val="0"/>
        <w:spacing w:line="440" w:lineRule="exact"/>
        <w:ind w:firstLine="0" w:firstLineChars="0"/>
        <w:rPr>
          <w:rFonts w:asciiTheme="minorEastAsia" w:hAnsiTheme="minorEastAsia" w:eastAsiaTheme="minorEastAsia"/>
          <w:sz w:val="24"/>
        </w:rPr>
      </w:pPr>
    </w:p>
    <w:p w14:paraId="1CF99C2B">
      <w:pPr>
        <w:tabs>
          <w:tab w:val="left" w:pos="210"/>
          <w:tab w:val="left" w:pos="840"/>
          <w:tab w:val="left" w:pos="1155"/>
        </w:tabs>
        <w:adjustRightInd w:val="0"/>
        <w:snapToGrid w:val="0"/>
        <w:spacing w:line="440" w:lineRule="exact"/>
        <w:ind w:firstLine="0" w:firstLineChars="0"/>
        <w:rPr>
          <w:rFonts w:asciiTheme="minorEastAsia" w:hAnsiTheme="minorEastAsia" w:eastAsiaTheme="minorEastAsia"/>
          <w:bCs/>
          <w:sz w:val="24"/>
          <w:szCs w:val="24"/>
        </w:rPr>
      </w:pP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以下无正文</w:t>
      </w:r>
      <w:r>
        <w:rPr>
          <w:rFonts w:hint="eastAsia" w:asciiTheme="minorEastAsia" w:hAnsiTheme="minorEastAsia" w:eastAsiaTheme="minorEastAsia"/>
          <w:b/>
          <w:sz w:val="24"/>
          <w:szCs w:val="24"/>
          <w:lang w:eastAsia="zh-CN"/>
        </w:rPr>
        <w:t>】</w:t>
      </w:r>
    </w:p>
    <w:p w14:paraId="1BAB10C7">
      <w:pPr>
        <w:tabs>
          <w:tab w:val="left" w:pos="210"/>
          <w:tab w:val="left" w:pos="840"/>
          <w:tab w:val="left" w:pos="1155"/>
        </w:tabs>
        <w:adjustRightInd w:val="0"/>
        <w:snapToGrid w:val="0"/>
        <w:spacing w:line="440" w:lineRule="exact"/>
        <w:ind w:firstLine="480" w:firstLineChars="200"/>
        <w:rPr>
          <w:rFonts w:hint="eastAsia" w:asciiTheme="minorEastAsia" w:hAnsiTheme="minorEastAsia" w:eastAsiaTheme="minorEastAsia"/>
          <w:bCs/>
          <w:sz w:val="24"/>
          <w:szCs w:val="24"/>
        </w:rPr>
      </w:pPr>
    </w:p>
    <w:tbl>
      <w:tblPr>
        <w:tblStyle w:val="254"/>
        <w:tblW w:w="10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55"/>
        <w:gridCol w:w="4795"/>
      </w:tblGrid>
      <w:tr w14:paraId="3551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5255" w:type="dxa"/>
          </w:tcPr>
          <w:p w14:paraId="4230B261">
            <w:pPr>
              <w:jc w:val="left"/>
              <w:rPr>
                <w:rFonts w:asciiTheme="minorEastAsia" w:hAnsiTheme="minorEastAsia" w:eastAsiaTheme="minorEastAsia"/>
                <w:sz w:val="24"/>
              </w:rPr>
            </w:pPr>
            <w:r>
              <w:rPr>
                <w:rFonts w:asciiTheme="minorEastAsia" w:hAnsiTheme="minorEastAsia" w:eastAsiaTheme="minorEastAsia"/>
                <w:bCs/>
                <w:sz w:val="24"/>
                <w:szCs w:val="24"/>
              </w:rPr>
              <w:br w:type="page"/>
            </w:r>
            <w:r>
              <w:rPr>
                <w:rFonts w:hint="eastAsia" w:asciiTheme="minorEastAsia" w:hAnsiTheme="minorEastAsia" w:eastAsiaTheme="minorEastAsia"/>
                <w:b/>
                <w:sz w:val="24"/>
              </w:rPr>
              <w:t>甲方</w:t>
            </w:r>
            <w:r>
              <w:rPr>
                <w:rFonts w:hint="eastAsia" w:asciiTheme="minorEastAsia" w:hAnsiTheme="minorEastAsia" w:eastAsiaTheme="minorEastAsia"/>
                <w:sz w:val="24"/>
              </w:rPr>
              <w:t>（盖章）：如东县洋口镇人民政府</w:t>
            </w:r>
          </w:p>
          <w:p w14:paraId="73758183">
            <w:pPr>
              <w:jc w:val="left"/>
              <w:rPr>
                <w:rFonts w:asciiTheme="minorEastAsia" w:hAnsiTheme="minorEastAsia" w:eastAsiaTheme="minorEastAsia"/>
                <w:sz w:val="24"/>
              </w:rPr>
            </w:pPr>
          </w:p>
        </w:tc>
        <w:tc>
          <w:tcPr>
            <w:tcW w:w="4795" w:type="dxa"/>
          </w:tcPr>
          <w:p w14:paraId="5B59C425">
            <w:pPr>
              <w:jc w:val="left"/>
              <w:rPr>
                <w:rFonts w:asciiTheme="minorEastAsia" w:hAnsiTheme="minorEastAsia" w:eastAsiaTheme="minorEastAsia"/>
                <w:sz w:val="24"/>
              </w:rPr>
            </w:pPr>
            <w:r>
              <w:rPr>
                <w:rFonts w:hint="eastAsia" w:asciiTheme="minorEastAsia" w:hAnsiTheme="minorEastAsia" w:eastAsiaTheme="minorEastAsia"/>
                <w:b/>
                <w:sz w:val="24"/>
              </w:rPr>
              <w:t>乙方</w:t>
            </w:r>
            <w:r>
              <w:rPr>
                <w:rFonts w:hint="eastAsia" w:asciiTheme="minorEastAsia" w:hAnsiTheme="minorEastAsia" w:eastAsiaTheme="minorEastAsia"/>
                <w:sz w:val="24"/>
              </w:rPr>
              <w:t>（盖章）：</w:t>
            </w:r>
            <w:r>
              <w:rPr>
                <w:rFonts w:asciiTheme="minorEastAsia" w:hAnsiTheme="minorEastAsia" w:eastAsiaTheme="minorEastAsia"/>
                <w:sz w:val="24"/>
              </w:rPr>
              <w:t xml:space="preserve"> </w:t>
            </w:r>
          </w:p>
        </w:tc>
      </w:tr>
      <w:tr w14:paraId="6987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5255" w:type="dxa"/>
            <w:vAlign w:val="center"/>
          </w:tcPr>
          <w:p w14:paraId="34328FBD">
            <w:pPr>
              <w:jc w:val="left"/>
              <w:rPr>
                <w:rFonts w:asciiTheme="minorEastAsia" w:hAnsiTheme="minorEastAsia" w:eastAsiaTheme="minorEastAsia"/>
                <w:sz w:val="24"/>
              </w:rPr>
            </w:pPr>
            <w:r>
              <w:rPr>
                <w:rFonts w:hint="eastAsia" w:asciiTheme="minorEastAsia" w:hAnsiTheme="minorEastAsia" w:eastAsiaTheme="minorEastAsia"/>
                <w:sz w:val="24"/>
              </w:rPr>
              <w:t>法定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授权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代表人（签字或盖章）：</w:t>
            </w:r>
          </w:p>
          <w:p w14:paraId="6916A1B8">
            <w:pPr>
              <w:jc w:val="left"/>
              <w:rPr>
                <w:rFonts w:asciiTheme="minorEastAsia" w:hAnsiTheme="minorEastAsia" w:eastAsiaTheme="minorEastAsia"/>
                <w:sz w:val="24"/>
              </w:rPr>
            </w:pPr>
          </w:p>
          <w:p w14:paraId="378F59E5">
            <w:pPr>
              <w:jc w:val="left"/>
              <w:rPr>
                <w:rFonts w:hint="eastAsia" w:asciiTheme="minorEastAsia" w:hAnsiTheme="minorEastAsia" w:eastAsiaTheme="minorEastAsia"/>
                <w:sz w:val="24"/>
              </w:rPr>
            </w:pPr>
          </w:p>
        </w:tc>
        <w:tc>
          <w:tcPr>
            <w:tcW w:w="4795" w:type="dxa"/>
            <w:vAlign w:val="center"/>
          </w:tcPr>
          <w:p w14:paraId="0B084479">
            <w:pPr>
              <w:jc w:val="left"/>
              <w:rPr>
                <w:rFonts w:asciiTheme="minorEastAsia" w:hAnsiTheme="minorEastAsia" w:eastAsiaTheme="minorEastAsia"/>
                <w:sz w:val="24"/>
              </w:rPr>
            </w:pPr>
            <w:r>
              <w:rPr>
                <w:rFonts w:hint="eastAsia" w:asciiTheme="minorEastAsia" w:hAnsiTheme="minorEastAsia" w:eastAsiaTheme="minorEastAsia"/>
                <w:sz w:val="24"/>
              </w:rPr>
              <w:t>法定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授权</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代表人（签字或盖章）：</w:t>
            </w:r>
          </w:p>
          <w:p w14:paraId="52BB47E9">
            <w:pPr>
              <w:jc w:val="left"/>
              <w:rPr>
                <w:rFonts w:asciiTheme="minorEastAsia" w:hAnsiTheme="minorEastAsia" w:eastAsiaTheme="minorEastAsia"/>
                <w:sz w:val="24"/>
              </w:rPr>
            </w:pPr>
          </w:p>
          <w:p w14:paraId="4E4F51F9">
            <w:pPr>
              <w:jc w:val="left"/>
              <w:rPr>
                <w:rFonts w:asciiTheme="minorEastAsia" w:hAnsiTheme="minorEastAsia" w:eastAsiaTheme="minorEastAsia"/>
                <w:sz w:val="24"/>
              </w:rPr>
            </w:pPr>
          </w:p>
        </w:tc>
      </w:tr>
      <w:tr w14:paraId="3156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255" w:type="dxa"/>
            <w:vAlign w:val="center"/>
          </w:tcPr>
          <w:p w14:paraId="62A32623">
            <w:pPr>
              <w:jc w:val="left"/>
              <w:rPr>
                <w:rFonts w:hint="eastAsia" w:asciiTheme="minorEastAsia" w:hAnsiTheme="minorEastAsia" w:eastAsiaTheme="minorEastAsia"/>
                <w:sz w:val="24"/>
              </w:rPr>
            </w:pPr>
          </w:p>
          <w:p w14:paraId="385ED0D8">
            <w:pPr>
              <w:jc w:val="left"/>
              <w:rPr>
                <w:rFonts w:hint="eastAsia" w:asciiTheme="minorEastAsia" w:hAnsiTheme="minorEastAsia" w:eastAsiaTheme="minorEastAsia"/>
                <w:sz w:val="24"/>
              </w:rPr>
            </w:pPr>
          </w:p>
          <w:p w14:paraId="143489CA">
            <w:pPr>
              <w:jc w:val="left"/>
              <w:rPr>
                <w:rFonts w:asciiTheme="minorEastAsia" w:hAnsiTheme="minorEastAsia" w:eastAsiaTheme="minorEastAsia"/>
                <w:sz w:val="24"/>
              </w:rPr>
            </w:pPr>
            <w:r>
              <w:rPr>
                <w:rFonts w:hint="eastAsia" w:asciiTheme="minorEastAsia" w:hAnsiTheme="minorEastAsia" w:eastAsiaTheme="minorEastAsia"/>
                <w:sz w:val="24"/>
              </w:rPr>
              <w:t xml:space="preserve">签订日期：2025年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795" w:type="dxa"/>
            <w:vAlign w:val="center"/>
          </w:tcPr>
          <w:p w14:paraId="51E66D70">
            <w:pPr>
              <w:jc w:val="left"/>
              <w:rPr>
                <w:rFonts w:hint="eastAsia" w:asciiTheme="minorEastAsia" w:hAnsiTheme="minorEastAsia" w:eastAsiaTheme="minorEastAsia"/>
                <w:sz w:val="24"/>
              </w:rPr>
            </w:pPr>
          </w:p>
          <w:p w14:paraId="0877A3A9">
            <w:pPr>
              <w:jc w:val="left"/>
              <w:rPr>
                <w:rFonts w:hint="eastAsia" w:asciiTheme="minorEastAsia" w:hAnsiTheme="minorEastAsia" w:eastAsiaTheme="minorEastAsia"/>
                <w:sz w:val="24"/>
              </w:rPr>
            </w:pPr>
          </w:p>
          <w:p w14:paraId="689BCBB7">
            <w:pPr>
              <w:jc w:val="left"/>
              <w:rPr>
                <w:rFonts w:asciiTheme="minorEastAsia" w:hAnsiTheme="minorEastAsia" w:eastAsiaTheme="minorEastAsia"/>
                <w:sz w:val="24"/>
              </w:rPr>
            </w:pPr>
            <w:r>
              <w:rPr>
                <w:rFonts w:hint="eastAsia" w:asciiTheme="minorEastAsia" w:hAnsiTheme="minorEastAsia" w:eastAsiaTheme="minorEastAsia"/>
                <w:sz w:val="24"/>
              </w:rPr>
              <w:t xml:space="preserve">签订日期：2025年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月 </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bookmarkEnd w:id="201"/>
    </w:tbl>
    <w:p w14:paraId="7BB9DFE5">
      <w:pPr>
        <w:widowControl/>
        <w:jc w:val="left"/>
        <w:rPr>
          <w:rFonts w:asciiTheme="minorEastAsia" w:hAnsiTheme="minorEastAsia" w:eastAsiaTheme="minorEastAsia"/>
          <w:b/>
          <w:bCs/>
          <w:sz w:val="24"/>
          <w:szCs w:val="32"/>
        </w:rPr>
      </w:pPr>
    </w:p>
    <w:p w14:paraId="1DE00631">
      <w:pPr>
        <w:rPr>
          <w:rFonts w:hint="eastAsia" w:ascii="宋体" w:hAnsi="宋体" w:eastAsia="宋体" w:cs="宋体"/>
          <w:color w:val="auto"/>
          <w:sz w:val="44"/>
          <w:szCs w:val="44"/>
          <w:highlight w:val="none"/>
          <w:lang w:eastAsia="zh-CN"/>
        </w:rPr>
      </w:pPr>
    </w:p>
    <w:p w14:paraId="3C978EBB">
      <w:pPr>
        <w:widowControl/>
        <w:jc w:val="left"/>
        <w:rPr>
          <w:rFonts w:asciiTheme="minorEastAsia" w:hAnsiTheme="minorEastAsia" w:eastAsiaTheme="minorEastAsia"/>
          <w:b/>
          <w:bCs/>
          <w:sz w:val="24"/>
          <w:szCs w:val="32"/>
        </w:rPr>
      </w:pPr>
    </w:p>
    <w:p w14:paraId="04BE02D9">
      <w:pPr>
        <w:rPr>
          <w:rFonts w:hint="eastAsia" w:ascii="宋体" w:hAnsi="宋体" w:eastAsia="宋体" w:cs="宋体"/>
          <w:color w:val="auto"/>
          <w:sz w:val="44"/>
          <w:szCs w:val="44"/>
          <w:highlight w:val="none"/>
          <w:lang w:eastAsia="zh-CN"/>
        </w:rPr>
      </w:pPr>
    </w:p>
    <w:p w14:paraId="092A7FD1">
      <w:pPr>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663BDAA5">
      <w:pPr>
        <w:pStyle w:val="2"/>
        <w:ind w:firstLine="2209"/>
        <w:jc w:val="left"/>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第六章  投标</w:t>
      </w:r>
      <w:bookmarkEnd w:id="185"/>
      <w:bookmarkEnd w:id="186"/>
      <w:bookmarkEnd w:id="187"/>
      <w:r>
        <w:rPr>
          <w:rFonts w:hint="eastAsia" w:ascii="宋体" w:hAnsi="宋体" w:eastAsia="宋体" w:cs="宋体"/>
          <w:b/>
          <w:color w:val="auto"/>
          <w:sz w:val="44"/>
          <w:highlight w:val="none"/>
        </w:rPr>
        <w:t>文件格式</w:t>
      </w:r>
      <w:bookmarkEnd w:id="200"/>
    </w:p>
    <w:p w14:paraId="5D6D0091">
      <w:pPr>
        <w:jc w:val="center"/>
        <w:rPr>
          <w:rFonts w:hint="eastAsia" w:ascii="宋体" w:hAnsi="宋体" w:eastAsia="宋体" w:cs="宋体"/>
          <w:b/>
          <w:color w:val="auto"/>
          <w:sz w:val="72"/>
          <w:highlight w:val="none"/>
        </w:rPr>
      </w:pPr>
      <w:bookmarkStart w:id="207" w:name="_Hlt26671244"/>
      <w:bookmarkEnd w:id="207"/>
      <w:bookmarkStart w:id="208" w:name="_Hlt26955039"/>
      <w:bookmarkEnd w:id="208"/>
      <w:bookmarkStart w:id="209" w:name="_Toc26554094"/>
      <w:bookmarkStart w:id="210" w:name="_Toc49090576"/>
      <w:bookmarkStart w:id="211" w:name="_Toc120614282"/>
    </w:p>
    <w:p w14:paraId="788B3374">
      <w:pPr>
        <w:jc w:val="center"/>
        <w:outlineLvl w:val="0"/>
        <w:rPr>
          <w:rFonts w:hint="eastAsia" w:ascii="宋体" w:hAnsi="宋体" w:eastAsia="宋体" w:cs="宋体"/>
          <w:b/>
          <w:color w:val="auto"/>
          <w:sz w:val="72"/>
          <w:highlight w:val="none"/>
        </w:rPr>
      </w:pPr>
      <w:bookmarkStart w:id="212" w:name="_Toc186493272"/>
      <w:r>
        <w:rPr>
          <w:rFonts w:hint="eastAsia" w:ascii="宋体" w:hAnsi="宋体" w:eastAsia="宋体" w:cs="宋体"/>
          <w:b/>
          <w:color w:val="auto"/>
          <w:sz w:val="72"/>
          <w:highlight w:val="none"/>
        </w:rPr>
        <w:t>投  标  文  件</w:t>
      </w:r>
      <w:bookmarkEnd w:id="212"/>
    </w:p>
    <w:p w14:paraId="18BEEFF9">
      <w:pPr>
        <w:jc w:val="center"/>
        <w:rPr>
          <w:rFonts w:hint="eastAsia" w:ascii="宋体" w:hAnsi="宋体" w:eastAsia="宋体" w:cs="宋体"/>
          <w:b/>
          <w:color w:val="auto"/>
          <w:sz w:val="72"/>
          <w:highlight w:val="none"/>
        </w:rPr>
      </w:pPr>
    </w:p>
    <w:p w14:paraId="2E1D2EB9">
      <w:pPr>
        <w:jc w:val="center"/>
        <w:rPr>
          <w:rFonts w:hint="eastAsia" w:ascii="宋体" w:hAnsi="宋体" w:eastAsia="宋体" w:cs="宋体"/>
          <w:b/>
          <w:color w:val="auto"/>
          <w:sz w:val="72"/>
          <w:highlight w:val="none"/>
        </w:rPr>
      </w:pPr>
    </w:p>
    <w:p w14:paraId="2245FB99">
      <w:pPr>
        <w:jc w:val="center"/>
        <w:rPr>
          <w:rFonts w:hint="eastAsia" w:ascii="宋体" w:hAnsi="宋体" w:eastAsia="宋体" w:cs="宋体"/>
          <w:b/>
          <w:color w:val="auto"/>
          <w:sz w:val="36"/>
          <w:highlight w:val="none"/>
        </w:rPr>
      </w:pPr>
    </w:p>
    <w:p w14:paraId="54763E1B">
      <w:pPr>
        <w:pStyle w:val="14"/>
        <w:rPr>
          <w:rFonts w:hint="eastAsia" w:ascii="宋体" w:hAnsi="宋体" w:eastAsia="宋体" w:cs="宋体"/>
          <w:color w:val="auto"/>
          <w:highlight w:val="none"/>
        </w:rPr>
      </w:pPr>
    </w:p>
    <w:p w14:paraId="09F2D459">
      <w:pPr>
        <w:jc w:val="center"/>
        <w:rPr>
          <w:rFonts w:hint="eastAsia" w:ascii="宋体" w:hAnsi="宋体" w:eastAsia="宋体" w:cs="宋体"/>
          <w:b/>
          <w:color w:val="auto"/>
          <w:sz w:val="36"/>
          <w:highlight w:val="none"/>
        </w:rPr>
      </w:pPr>
    </w:p>
    <w:p w14:paraId="74BCCB9C">
      <w:pPr>
        <w:jc w:val="center"/>
        <w:rPr>
          <w:rFonts w:hint="eastAsia" w:ascii="宋体" w:hAnsi="宋体" w:eastAsia="宋体" w:cs="宋体"/>
          <w:b/>
          <w:color w:val="auto"/>
          <w:sz w:val="36"/>
          <w:highlight w:val="none"/>
        </w:rPr>
      </w:pPr>
    </w:p>
    <w:p w14:paraId="154DA7AB">
      <w:pPr>
        <w:ind w:firstLine="1084"/>
        <w:outlineLvl w:val="0"/>
        <w:rPr>
          <w:rFonts w:hint="eastAsia" w:ascii="宋体" w:hAnsi="宋体" w:eastAsia="宋体" w:cs="宋体"/>
          <w:b/>
          <w:color w:val="auto"/>
          <w:sz w:val="36"/>
          <w:highlight w:val="none"/>
        </w:rPr>
      </w:pPr>
      <w:bookmarkStart w:id="213" w:name="_Toc186493273"/>
      <w:r>
        <w:rPr>
          <w:rFonts w:hint="eastAsia" w:ascii="宋体" w:hAnsi="宋体" w:eastAsia="宋体" w:cs="宋体"/>
          <w:b/>
          <w:color w:val="auto"/>
          <w:sz w:val="36"/>
          <w:highlight w:val="none"/>
        </w:rPr>
        <w:t>项 目 名 称：</w:t>
      </w:r>
      <w:bookmarkEnd w:id="213"/>
    </w:p>
    <w:p w14:paraId="08576D97">
      <w:pPr>
        <w:ind w:firstLine="1084"/>
        <w:outlineLvl w:val="0"/>
        <w:rPr>
          <w:rFonts w:hint="eastAsia" w:ascii="宋体" w:hAnsi="宋体" w:eastAsia="宋体" w:cs="宋体"/>
          <w:b/>
          <w:color w:val="auto"/>
          <w:sz w:val="36"/>
          <w:highlight w:val="none"/>
          <w:u w:val="single"/>
        </w:rPr>
      </w:pPr>
      <w:bookmarkStart w:id="214" w:name="_Toc186493274"/>
      <w:r>
        <w:rPr>
          <w:rFonts w:hint="eastAsia" w:ascii="宋体" w:hAnsi="宋体" w:eastAsia="宋体" w:cs="宋体"/>
          <w:b/>
          <w:color w:val="auto"/>
          <w:sz w:val="36"/>
          <w:highlight w:val="none"/>
        </w:rPr>
        <w:t>项 目 编 号：</w:t>
      </w:r>
      <w:bookmarkEnd w:id="214"/>
    </w:p>
    <w:p w14:paraId="03C12324">
      <w:pPr>
        <w:outlineLvl w:val="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w:t>
      </w:r>
      <w:bookmarkStart w:id="215" w:name="_Toc186493275"/>
      <w:r>
        <w:rPr>
          <w:rFonts w:hint="eastAsia" w:ascii="宋体" w:hAnsi="宋体" w:eastAsia="宋体" w:cs="宋体"/>
          <w:b/>
          <w:color w:val="auto"/>
          <w:sz w:val="36"/>
          <w:highlight w:val="none"/>
        </w:rPr>
        <w:t>投标人名称 ：</w:t>
      </w:r>
      <w:r>
        <w:rPr>
          <w:rFonts w:hint="eastAsia" w:ascii="宋体" w:hAnsi="宋体" w:eastAsia="宋体" w:cs="宋体"/>
          <w:b/>
          <w:color w:val="auto"/>
          <w:sz w:val="36"/>
          <w:highlight w:val="none"/>
          <w:u w:val="single"/>
        </w:rPr>
        <w:t>（加盖CA电子公章）</w:t>
      </w:r>
      <w:bookmarkEnd w:id="215"/>
    </w:p>
    <w:p w14:paraId="3C088A72">
      <w:pPr>
        <w:outlineLvl w:val="0"/>
        <w:rPr>
          <w:rFonts w:hint="eastAsia" w:ascii="宋体" w:hAnsi="宋体" w:eastAsia="宋体" w:cs="宋体"/>
          <w:b/>
          <w:color w:val="auto"/>
          <w:sz w:val="36"/>
          <w:highlight w:val="none"/>
          <w:u w:val="single"/>
        </w:rPr>
      </w:pPr>
      <w:r>
        <w:rPr>
          <w:rFonts w:hint="eastAsia" w:ascii="宋体" w:hAnsi="宋体" w:eastAsia="宋体" w:cs="宋体"/>
          <w:b/>
          <w:color w:val="auto"/>
          <w:sz w:val="36"/>
          <w:highlight w:val="none"/>
        </w:rPr>
        <w:t xml:space="preserve">      </w:t>
      </w:r>
      <w:bookmarkStart w:id="216" w:name="_Toc186493276"/>
      <w:r>
        <w:rPr>
          <w:rFonts w:hint="eastAsia" w:ascii="宋体" w:hAnsi="宋体" w:eastAsia="宋体" w:cs="宋体"/>
          <w:b/>
          <w:color w:val="auto"/>
          <w:sz w:val="36"/>
          <w:highlight w:val="none"/>
        </w:rPr>
        <w:t>日      期 ：</w:t>
      </w:r>
      <w:bookmarkEnd w:id="216"/>
    </w:p>
    <w:p w14:paraId="11F9D085">
      <w:pPr>
        <w:spacing w:line="440" w:lineRule="exact"/>
        <w:jc w:val="center"/>
        <w:rPr>
          <w:rFonts w:hint="eastAsia" w:ascii="宋体" w:hAnsi="宋体" w:eastAsia="宋体" w:cs="宋体"/>
          <w:b/>
          <w:bCs/>
          <w:color w:val="auto"/>
          <w:sz w:val="32"/>
          <w:szCs w:val="32"/>
          <w:highlight w:val="none"/>
        </w:rPr>
      </w:pPr>
    </w:p>
    <w:p w14:paraId="1BA7B1F9">
      <w:pPr>
        <w:spacing w:line="440" w:lineRule="exact"/>
        <w:rPr>
          <w:rFonts w:hint="eastAsia" w:ascii="宋体" w:hAnsi="宋体" w:eastAsia="宋体" w:cs="宋体"/>
          <w:color w:val="auto"/>
          <w:highlight w:val="none"/>
        </w:rPr>
      </w:pPr>
    </w:p>
    <w:p w14:paraId="11C18452">
      <w:pPr>
        <w:rPr>
          <w:rFonts w:hint="eastAsia" w:ascii="宋体" w:hAnsi="宋体" w:eastAsia="宋体" w:cs="宋体"/>
          <w:b/>
          <w:bCs/>
          <w:color w:val="auto"/>
          <w:sz w:val="32"/>
          <w:szCs w:val="32"/>
          <w:highlight w:val="none"/>
        </w:rPr>
      </w:pPr>
    </w:p>
    <w:p w14:paraId="78532628">
      <w:pPr>
        <w:spacing w:line="440" w:lineRule="exact"/>
        <w:outlineLvl w:val="0"/>
        <w:rPr>
          <w:rFonts w:hint="eastAsia" w:ascii="宋体" w:hAnsi="宋体" w:eastAsia="宋体" w:cs="宋体"/>
          <w:b/>
          <w:bCs/>
          <w:color w:val="auto"/>
          <w:sz w:val="32"/>
          <w:szCs w:val="32"/>
          <w:highlight w:val="none"/>
        </w:rPr>
      </w:pPr>
    </w:p>
    <w:p w14:paraId="27A4CBAF">
      <w:pPr>
        <w:spacing w:line="440" w:lineRule="exact"/>
        <w:jc w:val="center"/>
        <w:outlineLvl w:val="0"/>
        <w:rPr>
          <w:rFonts w:hint="eastAsia" w:ascii="宋体" w:hAnsi="宋体" w:eastAsia="宋体" w:cs="宋体"/>
          <w:b/>
          <w:bCs/>
          <w:color w:val="auto"/>
          <w:sz w:val="32"/>
          <w:szCs w:val="32"/>
          <w:highlight w:val="none"/>
        </w:rPr>
      </w:pPr>
    </w:p>
    <w:p w14:paraId="150249CE">
      <w:pPr>
        <w:pStyle w:val="78"/>
        <w:ind w:firstLine="643"/>
        <w:rPr>
          <w:rFonts w:hint="eastAsia" w:ascii="宋体" w:hAnsi="宋体" w:eastAsia="宋体" w:cs="宋体"/>
          <w:b/>
          <w:bCs/>
          <w:color w:val="auto"/>
          <w:sz w:val="32"/>
          <w:szCs w:val="32"/>
          <w:highlight w:val="none"/>
        </w:rPr>
      </w:pPr>
    </w:p>
    <w:p w14:paraId="56D84F2B">
      <w:pPr>
        <w:pStyle w:val="78"/>
        <w:ind w:firstLine="643"/>
        <w:rPr>
          <w:rFonts w:hint="eastAsia" w:ascii="宋体" w:hAnsi="宋体" w:eastAsia="宋体" w:cs="宋体"/>
          <w:b/>
          <w:bCs/>
          <w:color w:val="auto"/>
          <w:sz w:val="32"/>
          <w:szCs w:val="32"/>
          <w:highlight w:val="none"/>
        </w:rPr>
      </w:pPr>
    </w:p>
    <w:p w14:paraId="5C3CDA0B">
      <w:pPr>
        <w:pStyle w:val="78"/>
        <w:ind w:firstLine="643"/>
        <w:rPr>
          <w:rFonts w:hint="eastAsia" w:ascii="宋体" w:hAnsi="宋体" w:eastAsia="宋体" w:cs="宋体"/>
          <w:b/>
          <w:bCs/>
          <w:color w:val="auto"/>
          <w:sz w:val="32"/>
          <w:szCs w:val="32"/>
          <w:highlight w:val="none"/>
        </w:rPr>
      </w:pPr>
    </w:p>
    <w:p w14:paraId="6038523F">
      <w:pPr>
        <w:spacing w:line="440" w:lineRule="exact"/>
        <w:jc w:val="center"/>
        <w:outlineLvl w:val="0"/>
        <w:rPr>
          <w:rFonts w:hint="eastAsia" w:ascii="宋体" w:hAnsi="宋体" w:eastAsia="宋体" w:cs="宋体"/>
          <w:b/>
          <w:bCs/>
          <w:color w:val="auto"/>
          <w:sz w:val="32"/>
          <w:szCs w:val="32"/>
          <w:highlight w:val="none"/>
        </w:rPr>
      </w:pPr>
    </w:p>
    <w:p w14:paraId="03029BC1">
      <w:pPr>
        <w:spacing w:line="440" w:lineRule="exact"/>
        <w:jc w:val="center"/>
        <w:outlineLvl w:val="0"/>
        <w:rPr>
          <w:rFonts w:hint="eastAsia" w:ascii="宋体" w:hAnsi="宋体" w:eastAsia="宋体" w:cs="宋体"/>
          <w:b/>
          <w:bCs/>
          <w:color w:val="auto"/>
          <w:sz w:val="32"/>
          <w:szCs w:val="32"/>
          <w:highlight w:val="none"/>
        </w:rPr>
      </w:pPr>
    </w:p>
    <w:p w14:paraId="6BE0F994">
      <w:pPr>
        <w:spacing w:line="440" w:lineRule="exact"/>
        <w:jc w:val="center"/>
        <w:outlineLvl w:val="0"/>
        <w:rPr>
          <w:rFonts w:hint="eastAsia" w:ascii="宋体" w:hAnsi="宋体" w:eastAsia="宋体" w:cs="宋体"/>
          <w:b/>
          <w:bCs/>
          <w:color w:val="auto"/>
          <w:sz w:val="32"/>
          <w:szCs w:val="32"/>
          <w:highlight w:val="none"/>
        </w:rPr>
      </w:pPr>
    </w:p>
    <w:p w14:paraId="236535B9">
      <w:pPr>
        <w:spacing w:line="440" w:lineRule="exact"/>
        <w:jc w:val="center"/>
        <w:outlineLvl w:val="0"/>
        <w:rPr>
          <w:rFonts w:hint="eastAsia" w:ascii="宋体" w:hAnsi="宋体" w:eastAsia="宋体" w:cs="宋体"/>
          <w:b/>
          <w:bCs/>
          <w:color w:val="auto"/>
          <w:sz w:val="32"/>
          <w:szCs w:val="32"/>
          <w:highlight w:val="none"/>
        </w:rPr>
      </w:pPr>
    </w:p>
    <w:p w14:paraId="115C8255">
      <w:pPr>
        <w:spacing w:line="440" w:lineRule="exact"/>
        <w:jc w:val="center"/>
        <w:outlineLvl w:val="0"/>
        <w:rPr>
          <w:rFonts w:hint="eastAsia" w:ascii="宋体" w:hAnsi="宋体" w:eastAsia="宋体" w:cs="宋体"/>
          <w:b/>
          <w:bCs/>
          <w:color w:val="auto"/>
          <w:sz w:val="32"/>
          <w:szCs w:val="32"/>
          <w:highlight w:val="none"/>
        </w:rPr>
      </w:pPr>
    </w:p>
    <w:p w14:paraId="0162FD45">
      <w:pPr>
        <w:spacing w:line="440" w:lineRule="exact"/>
        <w:jc w:val="center"/>
        <w:outlineLvl w:val="0"/>
        <w:rPr>
          <w:rFonts w:hint="eastAsia" w:ascii="宋体" w:hAnsi="宋体" w:eastAsia="宋体" w:cs="宋体"/>
          <w:b/>
          <w:bCs/>
          <w:color w:val="auto"/>
          <w:sz w:val="32"/>
          <w:szCs w:val="32"/>
          <w:highlight w:val="none"/>
        </w:rPr>
      </w:pPr>
    </w:p>
    <w:p w14:paraId="715D06E8">
      <w:pPr>
        <w:spacing w:line="440" w:lineRule="exact"/>
        <w:jc w:val="center"/>
        <w:outlineLvl w:val="0"/>
        <w:rPr>
          <w:rFonts w:hint="eastAsia" w:ascii="宋体" w:hAnsi="宋体" w:eastAsia="宋体" w:cs="宋体"/>
          <w:b/>
          <w:bCs/>
          <w:color w:val="auto"/>
          <w:sz w:val="32"/>
          <w:szCs w:val="32"/>
          <w:highlight w:val="none"/>
        </w:rPr>
      </w:pPr>
      <w:bookmarkStart w:id="217" w:name="_Toc186493277"/>
      <w:r>
        <w:rPr>
          <w:rFonts w:hint="eastAsia" w:ascii="宋体" w:hAnsi="宋体" w:eastAsia="宋体" w:cs="宋体"/>
          <w:b/>
          <w:bCs/>
          <w:color w:val="auto"/>
          <w:sz w:val="32"/>
          <w:szCs w:val="32"/>
          <w:highlight w:val="none"/>
        </w:rPr>
        <w:t>投标文件的组成</w:t>
      </w:r>
      <w:bookmarkEnd w:id="217"/>
    </w:p>
    <w:p w14:paraId="0882DC0B">
      <w:pPr>
        <w:spacing w:line="440" w:lineRule="exact"/>
        <w:jc w:val="center"/>
        <w:rPr>
          <w:rFonts w:hint="eastAsia" w:ascii="宋体" w:hAnsi="宋体" w:eastAsia="宋体" w:cs="宋体"/>
          <w:b/>
          <w:bCs/>
          <w:color w:val="auto"/>
          <w:sz w:val="32"/>
          <w:szCs w:val="32"/>
          <w:highlight w:val="none"/>
        </w:rPr>
      </w:pPr>
    </w:p>
    <w:p w14:paraId="14BDD493">
      <w:pPr>
        <w:keepNext w:val="0"/>
        <w:keepLines w:val="0"/>
        <w:pageBreakBefore w:val="0"/>
        <w:widowControl w:val="0"/>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color w:val="auto"/>
          <w:sz w:val="24"/>
          <w:highlight w:val="none"/>
        </w:rPr>
      </w:pPr>
      <w:bookmarkStart w:id="218" w:name="_Toc186493278"/>
      <w:r>
        <w:rPr>
          <w:rFonts w:hint="eastAsia" w:ascii="宋体" w:hAnsi="宋体" w:eastAsia="宋体" w:cs="宋体"/>
          <w:b/>
          <w:color w:val="auto"/>
          <w:sz w:val="24"/>
          <w:highlight w:val="none"/>
        </w:rPr>
        <w:t>一、基本目录</w:t>
      </w:r>
      <w:bookmarkEnd w:id="218"/>
    </w:p>
    <w:p w14:paraId="320B75B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1.开标一览表（格式见附件1）</w:t>
      </w:r>
    </w:p>
    <w:p w14:paraId="3CF49E01">
      <w:pPr>
        <w:keepNext w:val="0"/>
        <w:keepLines w:val="0"/>
        <w:pageBreakBefore w:val="0"/>
        <w:widowControl w:val="0"/>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color w:val="auto"/>
          <w:sz w:val="24"/>
          <w:highlight w:val="none"/>
        </w:rPr>
      </w:pPr>
      <w:bookmarkStart w:id="219" w:name="_Toc186493279"/>
      <w:r>
        <w:rPr>
          <w:rFonts w:hint="eastAsia" w:ascii="宋体" w:hAnsi="宋体" w:eastAsia="宋体" w:cs="宋体"/>
          <w:b/>
          <w:color w:val="auto"/>
          <w:sz w:val="24"/>
          <w:highlight w:val="none"/>
        </w:rPr>
        <w:t>二、资格审查内容</w:t>
      </w:r>
      <w:bookmarkEnd w:id="219"/>
    </w:p>
    <w:p w14:paraId="5E1FA34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1.投标人符合《政府采购法》第二十二条规定条件的声明函（</w:t>
      </w:r>
      <w:r>
        <w:rPr>
          <w:rFonts w:hint="eastAsia" w:ascii="宋体" w:hAnsi="宋体" w:eastAsia="宋体" w:cs="宋体"/>
          <w:color w:val="auto"/>
          <w:sz w:val="24"/>
          <w:highlight w:val="none"/>
          <w:lang w:val="zh-CN"/>
        </w:rPr>
        <w:t>格式见附件</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p>
    <w:p w14:paraId="38009EF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.有效的营业执照扫描件</w:t>
      </w:r>
      <w:r>
        <w:rPr>
          <w:rFonts w:hint="eastAsia" w:ascii="宋体" w:hAnsi="宋体" w:cs="宋体"/>
          <w:color w:val="auto"/>
          <w:sz w:val="24"/>
          <w:highlight w:val="none"/>
          <w:lang w:eastAsia="zh-CN"/>
        </w:rPr>
        <w:t>；</w:t>
      </w:r>
    </w:p>
    <w:p w14:paraId="5F632D9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法定代表人身份证明、</w:t>
      </w:r>
      <w:r>
        <w:rPr>
          <w:rFonts w:hint="eastAsia" w:ascii="宋体" w:hAnsi="宋体" w:eastAsia="宋体" w:cs="宋体"/>
          <w:color w:val="auto"/>
          <w:sz w:val="24"/>
          <w:highlight w:val="none"/>
          <w:lang w:val="zh-CN"/>
        </w:rPr>
        <w:t>法定代表人的身份证</w:t>
      </w:r>
      <w:r>
        <w:rPr>
          <w:rFonts w:hint="eastAsia" w:ascii="宋体" w:hAnsi="宋体" w:eastAsia="宋体" w:cs="宋体"/>
          <w:color w:val="auto"/>
          <w:sz w:val="24"/>
          <w:highlight w:val="none"/>
        </w:rPr>
        <w:t>扫描件（</w:t>
      </w:r>
      <w:r>
        <w:rPr>
          <w:rFonts w:hint="eastAsia" w:ascii="宋体" w:hAnsi="宋体" w:eastAsia="宋体" w:cs="宋体"/>
          <w:color w:val="auto"/>
          <w:sz w:val="24"/>
          <w:highlight w:val="none"/>
          <w:lang w:val="zh-CN"/>
        </w:rPr>
        <w:t>格式见附件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p>
    <w:p w14:paraId="1352C5D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.法人授权书、被授权</w:t>
      </w:r>
      <w:r>
        <w:rPr>
          <w:rFonts w:hint="eastAsia" w:ascii="宋体" w:hAnsi="宋体" w:eastAsia="宋体" w:cs="宋体"/>
          <w:color w:val="auto"/>
          <w:sz w:val="24"/>
          <w:highlight w:val="none"/>
          <w:lang w:val="zh-CN"/>
        </w:rPr>
        <w:t>人身份证</w:t>
      </w:r>
      <w:r>
        <w:rPr>
          <w:rFonts w:hint="eastAsia" w:ascii="宋体" w:hAnsi="宋体" w:eastAsia="宋体" w:cs="宋体"/>
          <w:color w:val="auto"/>
          <w:sz w:val="24"/>
          <w:highlight w:val="none"/>
        </w:rPr>
        <w:t>扫描件（如有授权）（</w:t>
      </w:r>
      <w:r>
        <w:rPr>
          <w:rFonts w:hint="eastAsia" w:ascii="宋体" w:hAnsi="宋体" w:eastAsia="宋体" w:cs="宋体"/>
          <w:color w:val="auto"/>
          <w:sz w:val="24"/>
          <w:highlight w:val="none"/>
          <w:lang w:val="zh-CN"/>
        </w:rPr>
        <w:t>格式见附件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p>
    <w:p w14:paraId="3DD422C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eastAsia="宋体" w:cs="宋体"/>
          <w:i w:val="0"/>
          <w:iCs w:val="0"/>
          <w:caps w:val="0"/>
          <w:spacing w:val="0"/>
          <w:sz w:val="24"/>
          <w:szCs w:val="24"/>
          <w:shd w:val="clear" w:color="auto" w:fill="FFFFFF"/>
        </w:rPr>
        <w:t>地质灾害危险性评估甲级资质</w:t>
      </w:r>
      <w:r>
        <w:rPr>
          <w:rFonts w:hint="eastAsia" w:ascii="宋体" w:hAnsi="宋体" w:eastAsia="宋体" w:cs="宋体"/>
          <w:i w:val="0"/>
          <w:iCs w:val="0"/>
          <w:caps w:val="0"/>
          <w:spacing w:val="0"/>
          <w:sz w:val="24"/>
          <w:szCs w:val="24"/>
          <w:shd w:val="clear" w:color="auto" w:fill="FFFFFF"/>
          <w:lang w:val="en-US" w:eastAsia="zh-CN"/>
        </w:rPr>
        <w:t>或地质灾害评估和治理工程勘查设计甲级资质</w:t>
      </w:r>
      <w:r>
        <w:rPr>
          <w:rFonts w:hint="eastAsia" w:ascii="宋体" w:hAnsi="宋体" w:eastAsia="宋体" w:cs="宋体"/>
          <w:color w:val="auto"/>
          <w:sz w:val="24"/>
          <w:highlight w:val="none"/>
        </w:rPr>
        <w:t>扫描件</w:t>
      </w:r>
    </w:p>
    <w:p w14:paraId="2A1E3A2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.投标函（</w:t>
      </w:r>
      <w:r>
        <w:rPr>
          <w:rFonts w:hint="eastAsia" w:ascii="宋体" w:hAnsi="宋体" w:eastAsia="宋体" w:cs="宋体"/>
          <w:color w:val="auto"/>
          <w:sz w:val="24"/>
          <w:highlight w:val="none"/>
          <w:lang w:val="zh-CN"/>
        </w:rPr>
        <w:t>格式见附件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p>
    <w:p w14:paraId="06BB588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zh-CN"/>
        </w:rPr>
        <w:t>格式见附件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p>
    <w:p w14:paraId="3234AEC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.残疾人福利性单位声明函</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zh-CN"/>
        </w:rPr>
        <w:t>格式见附件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p>
    <w:p w14:paraId="57E9130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.监狱和戒</w:t>
      </w:r>
      <w:bookmarkStart w:id="239" w:name="_GoBack"/>
      <w:bookmarkEnd w:id="239"/>
      <w:r>
        <w:rPr>
          <w:rFonts w:hint="eastAsia" w:ascii="宋体" w:hAnsi="宋体" w:eastAsia="宋体" w:cs="宋体"/>
          <w:color w:val="auto"/>
          <w:sz w:val="24"/>
          <w:szCs w:val="24"/>
          <w:highlight w:val="none"/>
        </w:rPr>
        <w:t>毒企业证明材料</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lang w:val="zh-CN"/>
        </w:rPr>
        <w:t>格式见附件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w:t>
      </w:r>
    </w:p>
    <w:p w14:paraId="565833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rPr>
        <w:t>.其它需要提交的资格审查证明材料。</w:t>
      </w:r>
    </w:p>
    <w:p w14:paraId="1D250367">
      <w:pPr>
        <w:keepNext w:val="0"/>
        <w:keepLines w:val="0"/>
        <w:pageBreakBefore w:val="0"/>
        <w:widowControl w:val="0"/>
        <w:kinsoku/>
        <w:wordWrap/>
        <w:overflowPunct/>
        <w:topLinePunct w:val="0"/>
        <w:autoSpaceDE/>
        <w:autoSpaceDN/>
        <w:bidi w:val="0"/>
        <w:adjustRightInd/>
        <w:snapToGrid/>
        <w:spacing w:line="360" w:lineRule="auto"/>
        <w:ind w:left="480"/>
        <w:textAlignment w:val="auto"/>
        <w:outlineLvl w:val="0"/>
        <w:rPr>
          <w:rFonts w:hint="eastAsia" w:ascii="宋体" w:hAnsi="宋体" w:eastAsia="宋体" w:cs="宋体"/>
          <w:b/>
          <w:color w:val="auto"/>
          <w:sz w:val="24"/>
          <w:highlight w:val="none"/>
        </w:rPr>
      </w:pPr>
      <w:bookmarkStart w:id="220" w:name="_Toc186493280"/>
      <w:r>
        <w:rPr>
          <w:rFonts w:hint="eastAsia" w:ascii="宋体" w:hAnsi="宋体" w:eastAsia="宋体" w:cs="宋体"/>
          <w:b/>
          <w:color w:val="auto"/>
          <w:sz w:val="24"/>
          <w:highlight w:val="none"/>
        </w:rPr>
        <w:t>三、符合性审查内容</w:t>
      </w:r>
      <w:bookmarkEnd w:id="220"/>
    </w:p>
    <w:p w14:paraId="53B542EC">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1.技术要求响应及偏离表（</w:t>
      </w:r>
      <w:r>
        <w:rPr>
          <w:rFonts w:hint="eastAsia" w:ascii="宋体" w:hAnsi="宋体" w:eastAsia="宋体" w:cs="宋体"/>
          <w:color w:val="auto"/>
          <w:sz w:val="24"/>
          <w:highlight w:val="none"/>
          <w:lang w:val="zh-CN"/>
        </w:rPr>
        <w:t>格式见附件</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p>
    <w:p w14:paraId="0C6D1B1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2.商务要求响应及偏离表（</w:t>
      </w:r>
      <w:r>
        <w:rPr>
          <w:rFonts w:hint="eastAsia" w:ascii="宋体" w:hAnsi="宋体" w:eastAsia="宋体" w:cs="宋体"/>
          <w:color w:val="auto"/>
          <w:sz w:val="24"/>
          <w:highlight w:val="none"/>
          <w:lang w:val="zh-CN"/>
        </w:rPr>
        <w:t>格式见附件</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w:t>
      </w:r>
    </w:p>
    <w:p w14:paraId="3574EC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3.实质性要求响应及偏离表（</w:t>
      </w:r>
      <w:r>
        <w:rPr>
          <w:rFonts w:hint="eastAsia" w:ascii="宋体" w:hAnsi="宋体" w:eastAsia="宋体" w:cs="宋体"/>
          <w:color w:val="auto"/>
          <w:sz w:val="24"/>
          <w:highlight w:val="none"/>
          <w:lang w:val="zh-CN"/>
        </w:rPr>
        <w:t>格式见附件</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），投标人必须对技术要求和商务要求中</w:t>
      </w:r>
      <w:r>
        <w:rPr>
          <w:rFonts w:hint="eastAsia" w:ascii="宋体" w:hAnsi="宋体" w:eastAsia="宋体" w:cs="宋体"/>
          <w:b/>
          <w:bCs/>
          <w:color w:val="auto"/>
          <w:sz w:val="24"/>
          <w:highlight w:val="none"/>
        </w:rPr>
        <w:t>加斜体下划线的实质性要求做出响应，并按照招标文件要求提供证明材料</w:t>
      </w:r>
      <w:r>
        <w:rPr>
          <w:rFonts w:hint="eastAsia" w:ascii="宋体" w:hAnsi="宋体" w:eastAsia="宋体" w:cs="宋体"/>
          <w:color w:val="auto"/>
          <w:sz w:val="24"/>
          <w:highlight w:val="none"/>
        </w:rPr>
        <w:t>，否则做无效响应处理</w:t>
      </w:r>
      <w:r>
        <w:rPr>
          <w:rFonts w:hint="eastAsia" w:ascii="宋体" w:hAnsi="宋体" w:eastAsia="宋体" w:cs="宋体"/>
          <w:color w:val="auto"/>
          <w:sz w:val="24"/>
          <w:highlight w:val="none"/>
          <w:lang w:eastAsia="zh-CN"/>
        </w:rPr>
        <w:t>。</w:t>
      </w:r>
    </w:p>
    <w:p w14:paraId="4A3DC8A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b/>
          <w:color w:val="auto"/>
          <w:sz w:val="24"/>
          <w:szCs w:val="24"/>
          <w:highlight w:val="none"/>
        </w:rPr>
      </w:pPr>
      <w:bookmarkStart w:id="221" w:name="_Toc186493281"/>
      <w:r>
        <w:rPr>
          <w:rFonts w:hint="eastAsia" w:ascii="宋体" w:hAnsi="宋体" w:eastAsia="宋体" w:cs="宋体"/>
          <w:b/>
          <w:color w:val="auto"/>
          <w:sz w:val="24"/>
          <w:szCs w:val="24"/>
          <w:highlight w:val="none"/>
        </w:rPr>
        <w:t>四、</w:t>
      </w:r>
      <w:r>
        <w:rPr>
          <w:rFonts w:hint="eastAsia" w:ascii="宋体" w:hAnsi="宋体" w:eastAsia="宋体" w:cs="宋体"/>
          <w:b/>
          <w:color w:val="auto"/>
          <w:sz w:val="24"/>
          <w:szCs w:val="24"/>
          <w:highlight w:val="none"/>
          <w:lang w:val="zh-CN"/>
        </w:rPr>
        <w:t>商务技术</w:t>
      </w:r>
      <w:r>
        <w:rPr>
          <w:rFonts w:hint="eastAsia" w:ascii="宋体" w:hAnsi="宋体" w:eastAsia="宋体" w:cs="宋体"/>
          <w:b/>
          <w:color w:val="auto"/>
          <w:sz w:val="24"/>
          <w:szCs w:val="24"/>
          <w:highlight w:val="none"/>
        </w:rPr>
        <w:t>内容</w:t>
      </w:r>
      <w:bookmarkEnd w:id="221"/>
    </w:p>
    <w:p w14:paraId="678BA7A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商务技术评分标准中须提供的相关得分佐证材料</w:t>
      </w:r>
    </w:p>
    <w:p w14:paraId="5C339B9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投标人认为需要提交的其他材料。</w:t>
      </w:r>
    </w:p>
    <w:p w14:paraId="0D539E97">
      <w:pPr>
        <w:outlineLvl w:val="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zh-CN"/>
        </w:rPr>
        <w:br w:type="page" w:clear="all"/>
      </w:r>
      <w:bookmarkStart w:id="222" w:name="_Toc186493283"/>
      <w:r>
        <w:rPr>
          <w:rFonts w:hint="eastAsia" w:ascii="宋体" w:hAnsi="宋体" w:eastAsia="宋体" w:cs="宋体"/>
          <w:b/>
          <w:color w:val="auto"/>
          <w:sz w:val="24"/>
          <w:szCs w:val="24"/>
          <w:highlight w:val="none"/>
        </w:rPr>
        <w:t>附件1</w:t>
      </w:r>
      <w:bookmarkEnd w:id="222"/>
      <w:r>
        <w:rPr>
          <w:rFonts w:hint="eastAsia" w:ascii="宋体" w:hAnsi="宋体" w:eastAsia="宋体" w:cs="宋体"/>
          <w:b/>
          <w:color w:val="auto"/>
          <w:sz w:val="24"/>
          <w:szCs w:val="24"/>
          <w:highlight w:val="none"/>
        </w:rPr>
        <w:t xml:space="preserve"> </w:t>
      </w:r>
    </w:p>
    <w:p w14:paraId="0366ABDF">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开标一览表</w:t>
      </w:r>
    </w:p>
    <w:p w14:paraId="097A350D">
      <w:pPr>
        <w:pStyle w:val="14"/>
        <w:rPr>
          <w:rFonts w:hint="eastAsia" w:ascii="宋体" w:hAnsi="宋体" w:eastAsia="宋体" w:cs="宋体"/>
          <w:color w:val="auto"/>
          <w:highlight w:val="none"/>
        </w:rPr>
      </w:pPr>
    </w:p>
    <w:p w14:paraId="4C3DFF49">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w:t>
      </w:r>
    </w:p>
    <w:p w14:paraId="11816CB6">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14:paraId="23451FF1">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36"/>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4"/>
      </w:tblGrid>
      <w:tr w14:paraId="5ADE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9064" w:type="dxa"/>
            <w:noWrap w:val="0"/>
            <w:vAlign w:val="center"/>
          </w:tcPr>
          <w:p w14:paraId="4538E6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r>
      <w:tr w14:paraId="0138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noWrap w:val="0"/>
            <w:vAlign w:val="center"/>
          </w:tcPr>
          <w:p w14:paraId="7DD37D09">
            <w:pPr>
              <w:pStyle w:val="226"/>
              <w:spacing w:before="0" w:after="0" w:line="500" w:lineRule="exact"/>
              <w:ind w:left="0" w:leftChars="0" w:firstLine="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小写： 元</w:t>
            </w:r>
          </w:p>
        </w:tc>
      </w:tr>
      <w:tr w14:paraId="7699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9064" w:type="dxa"/>
            <w:noWrap w:val="0"/>
            <w:vAlign w:val="center"/>
          </w:tcPr>
          <w:p w14:paraId="26CB924F">
            <w:pPr>
              <w:pStyle w:val="226"/>
              <w:spacing w:before="0" w:after="0" w:line="500" w:lineRule="exact"/>
              <w:ind w:left="0" w:leftChars="0" w:firstLine="0" w:firstLineChars="0"/>
              <w:rPr>
                <w:rFonts w:hint="default" w:ascii="宋体" w:hAnsi="宋体" w:eastAsia="宋体" w:cs="宋体"/>
                <w:color w:val="auto"/>
                <w:highlight w:val="none"/>
                <w:lang w:val="en-US" w:eastAsia="zh-CN"/>
              </w:rPr>
            </w:pPr>
          </w:p>
        </w:tc>
      </w:tr>
    </w:tbl>
    <w:p w14:paraId="317A843E">
      <w:pPr>
        <w:spacing w:line="400" w:lineRule="exact"/>
        <w:rPr>
          <w:rFonts w:hint="eastAsia" w:ascii="宋体" w:hAnsi="宋体" w:eastAsia="宋体" w:cs="宋体"/>
          <w:b/>
          <w:bCs/>
          <w:color w:val="auto"/>
          <w:sz w:val="24"/>
          <w:highlight w:val="none"/>
        </w:rPr>
      </w:pPr>
    </w:p>
    <w:p w14:paraId="04888224">
      <w:pPr>
        <w:spacing w:line="400" w:lineRule="exac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注：1、本附件格式仅作参考，投标人以苏采云平台实际情况进行填报。</w:t>
      </w:r>
    </w:p>
    <w:p w14:paraId="3D2CB5FD">
      <w:pPr>
        <w:rPr>
          <w:rFonts w:hint="eastAsia" w:ascii="宋体" w:hAnsi="宋体" w:eastAsia="宋体" w:cs="宋体"/>
          <w:b/>
          <w:color w:val="auto"/>
          <w:sz w:val="24"/>
          <w:szCs w:val="24"/>
          <w:highlight w:val="none"/>
        </w:rPr>
      </w:pPr>
    </w:p>
    <w:p w14:paraId="7274DC40">
      <w:pPr>
        <w:spacing w:line="400" w:lineRule="exact"/>
        <w:ind w:firstLine="24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szCs w:val="24"/>
          <w:highlight w:val="none"/>
        </w:rPr>
        <w:t>加盖CA电子签章</w:t>
      </w:r>
      <w:r>
        <w:rPr>
          <w:rFonts w:hint="eastAsia" w:ascii="宋体" w:hAnsi="宋体" w:eastAsia="宋体" w:cs="宋体"/>
          <w:color w:val="auto"/>
          <w:sz w:val="24"/>
          <w:highlight w:val="none"/>
        </w:rPr>
        <w:t>）：</w:t>
      </w:r>
    </w:p>
    <w:p w14:paraId="1F588F00">
      <w:pPr>
        <w:pStyle w:val="14"/>
        <w:rPr>
          <w:rFonts w:hint="eastAsia" w:ascii="宋体" w:hAnsi="宋体" w:eastAsia="宋体" w:cs="宋体"/>
          <w:color w:val="auto"/>
          <w:highlight w:val="none"/>
        </w:rPr>
      </w:pPr>
    </w:p>
    <w:p w14:paraId="090FB325">
      <w:pPr>
        <w:spacing w:line="400" w:lineRule="exact"/>
        <w:ind w:firstLine="192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法定代表人或委托代理人（签章）：</w:t>
      </w:r>
    </w:p>
    <w:p w14:paraId="4EE64A12">
      <w:pPr>
        <w:spacing w:line="400" w:lineRule="exact"/>
        <w:ind w:firstLine="480"/>
        <w:rPr>
          <w:rFonts w:hint="eastAsia" w:ascii="宋体" w:hAnsi="宋体" w:eastAsia="宋体" w:cs="宋体"/>
          <w:color w:val="auto"/>
          <w:sz w:val="24"/>
          <w:highlight w:val="none"/>
        </w:rPr>
      </w:pPr>
    </w:p>
    <w:p w14:paraId="54E40DAE">
      <w:pPr>
        <w:ind w:firstLine="432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6EA25A4">
      <w:pPr>
        <w:bidi w:val="0"/>
        <w:rPr>
          <w:rFonts w:hint="eastAsia" w:ascii="宋体" w:hAnsi="宋体" w:eastAsia="宋体" w:cs="宋体"/>
          <w:color w:val="auto"/>
          <w:sz w:val="21"/>
          <w:szCs w:val="21"/>
          <w:lang w:val="en-US" w:eastAsia="zh-CN" w:bidi="ar-SA"/>
        </w:rPr>
      </w:pPr>
    </w:p>
    <w:p w14:paraId="36434A35">
      <w:pPr>
        <w:bidi w:val="0"/>
        <w:rPr>
          <w:rFonts w:hint="eastAsia" w:ascii="宋体" w:hAnsi="宋体" w:eastAsia="宋体" w:cs="宋体"/>
          <w:color w:val="auto"/>
          <w:lang w:val="en-US" w:eastAsia="zh-CN"/>
        </w:rPr>
      </w:pPr>
    </w:p>
    <w:p w14:paraId="7E745600">
      <w:pPr>
        <w:bidi w:val="0"/>
        <w:rPr>
          <w:rFonts w:hint="eastAsia" w:ascii="宋体" w:hAnsi="宋体" w:eastAsia="宋体" w:cs="宋体"/>
          <w:color w:val="auto"/>
          <w:lang w:val="en-US" w:eastAsia="zh-CN"/>
        </w:rPr>
      </w:pPr>
    </w:p>
    <w:p w14:paraId="0C4ED3C2">
      <w:pPr>
        <w:bidi w:val="0"/>
        <w:rPr>
          <w:rFonts w:hint="eastAsia" w:ascii="宋体" w:hAnsi="宋体" w:eastAsia="宋体" w:cs="宋体"/>
          <w:color w:val="auto"/>
          <w:lang w:val="en-US" w:eastAsia="zh-CN"/>
        </w:rPr>
      </w:pPr>
    </w:p>
    <w:p w14:paraId="3D839C58">
      <w:pPr>
        <w:bidi w:val="0"/>
        <w:rPr>
          <w:rFonts w:hint="eastAsia" w:ascii="宋体" w:hAnsi="宋体" w:eastAsia="宋体" w:cs="宋体"/>
          <w:color w:val="auto"/>
          <w:lang w:val="en-US" w:eastAsia="zh-CN"/>
        </w:rPr>
      </w:pPr>
    </w:p>
    <w:p w14:paraId="346F5110">
      <w:pPr>
        <w:bidi w:val="0"/>
        <w:rPr>
          <w:rFonts w:hint="eastAsia" w:ascii="宋体" w:hAnsi="宋体" w:eastAsia="宋体" w:cs="宋体"/>
          <w:color w:val="auto"/>
          <w:lang w:val="en-US" w:eastAsia="zh-CN"/>
        </w:rPr>
      </w:pPr>
    </w:p>
    <w:p w14:paraId="046FA81D">
      <w:pPr>
        <w:bidi w:val="0"/>
        <w:rPr>
          <w:rFonts w:hint="eastAsia" w:ascii="宋体" w:hAnsi="宋体" w:eastAsia="宋体" w:cs="宋体"/>
          <w:color w:val="auto"/>
          <w:lang w:val="en-US" w:eastAsia="zh-CN"/>
        </w:rPr>
      </w:pPr>
    </w:p>
    <w:p w14:paraId="677DA250">
      <w:pPr>
        <w:bidi w:val="0"/>
        <w:rPr>
          <w:rFonts w:hint="eastAsia" w:ascii="宋体" w:hAnsi="宋体" w:eastAsia="宋体" w:cs="宋体"/>
          <w:color w:val="auto"/>
          <w:lang w:val="en-US" w:eastAsia="zh-CN"/>
        </w:rPr>
      </w:pPr>
    </w:p>
    <w:p w14:paraId="45DA4B8C">
      <w:pPr>
        <w:bidi w:val="0"/>
        <w:rPr>
          <w:rFonts w:hint="eastAsia" w:ascii="宋体" w:hAnsi="宋体" w:eastAsia="宋体" w:cs="宋体"/>
          <w:color w:val="auto"/>
          <w:lang w:val="en-US" w:eastAsia="zh-CN"/>
        </w:rPr>
      </w:pPr>
    </w:p>
    <w:p w14:paraId="7C3614F2">
      <w:pPr>
        <w:bidi w:val="0"/>
        <w:rPr>
          <w:rFonts w:hint="eastAsia" w:ascii="宋体" w:hAnsi="宋体" w:eastAsia="宋体" w:cs="宋体"/>
          <w:color w:val="auto"/>
          <w:lang w:val="en-US" w:eastAsia="zh-CN"/>
        </w:rPr>
      </w:pPr>
    </w:p>
    <w:p w14:paraId="5546D09A">
      <w:pPr>
        <w:bidi w:val="0"/>
        <w:rPr>
          <w:rFonts w:hint="eastAsia" w:ascii="宋体" w:hAnsi="宋体" w:eastAsia="宋体" w:cs="宋体"/>
          <w:color w:val="auto"/>
          <w:lang w:val="en-US" w:eastAsia="zh-CN"/>
        </w:rPr>
      </w:pPr>
    </w:p>
    <w:p w14:paraId="1AB1D38E">
      <w:pPr>
        <w:bidi w:val="0"/>
        <w:rPr>
          <w:rFonts w:hint="eastAsia" w:ascii="宋体" w:hAnsi="宋体" w:eastAsia="宋体" w:cs="宋体"/>
          <w:color w:val="auto"/>
          <w:lang w:val="en-US" w:eastAsia="zh-CN"/>
        </w:rPr>
      </w:pPr>
    </w:p>
    <w:p w14:paraId="5FF887DC">
      <w:pPr>
        <w:bidi w:val="0"/>
        <w:rPr>
          <w:rFonts w:hint="eastAsia" w:ascii="宋体" w:hAnsi="宋体" w:eastAsia="宋体" w:cs="宋体"/>
          <w:color w:val="auto"/>
          <w:lang w:val="en-US" w:eastAsia="zh-CN"/>
        </w:rPr>
      </w:pPr>
    </w:p>
    <w:p w14:paraId="479AFE86">
      <w:pPr>
        <w:bidi w:val="0"/>
        <w:rPr>
          <w:rFonts w:hint="eastAsia" w:ascii="宋体" w:hAnsi="宋体" w:eastAsia="宋体" w:cs="宋体"/>
          <w:color w:val="auto"/>
          <w:lang w:val="en-US" w:eastAsia="zh-CN"/>
        </w:rPr>
      </w:pPr>
    </w:p>
    <w:p w14:paraId="755E8C11">
      <w:pPr>
        <w:bidi w:val="0"/>
        <w:rPr>
          <w:rFonts w:hint="eastAsia" w:ascii="宋体" w:hAnsi="宋体" w:eastAsia="宋体" w:cs="宋体"/>
          <w:color w:val="auto"/>
          <w:lang w:val="en-US" w:eastAsia="zh-CN"/>
        </w:rPr>
      </w:pPr>
    </w:p>
    <w:p w14:paraId="0E5C9C8F">
      <w:pPr>
        <w:bidi w:val="0"/>
        <w:rPr>
          <w:rFonts w:hint="eastAsia" w:ascii="宋体" w:hAnsi="宋体" w:eastAsia="宋体" w:cs="宋体"/>
          <w:color w:val="auto"/>
          <w:lang w:val="en-US" w:eastAsia="zh-CN"/>
        </w:rPr>
      </w:pPr>
    </w:p>
    <w:p w14:paraId="1F13A0F3">
      <w:pPr>
        <w:bidi w:val="0"/>
        <w:rPr>
          <w:rFonts w:hint="eastAsia" w:ascii="宋体" w:hAnsi="宋体" w:eastAsia="宋体" w:cs="宋体"/>
          <w:color w:val="auto"/>
          <w:lang w:val="en-US" w:eastAsia="zh-CN"/>
        </w:rPr>
      </w:pPr>
    </w:p>
    <w:p w14:paraId="08E63C51">
      <w:pPr>
        <w:bidi w:val="0"/>
        <w:rPr>
          <w:rFonts w:hint="eastAsia" w:ascii="宋体" w:hAnsi="宋体" w:eastAsia="宋体" w:cs="宋体"/>
          <w:color w:val="auto"/>
          <w:lang w:val="en-US" w:eastAsia="zh-CN"/>
        </w:rPr>
      </w:pPr>
    </w:p>
    <w:p w14:paraId="4E6071CB">
      <w:pPr>
        <w:bidi w:val="0"/>
        <w:rPr>
          <w:rFonts w:hint="eastAsia" w:ascii="宋体" w:hAnsi="宋体" w:eastAsia="宋体" w:cs="宋体"/>
          <w:color w:val="auto"/>
          <w:lang w:val="en-US" w:eastAsia="zh-CN"/>
        </w:rPr>
      </w:pPr>
    </w:p>
    <w:p w14:paraId="3609B89B">
      <w:pPr>
        <w:bidi w:val="0"/>
        <w:rPr>
          <w:rFonts w:hint="eastAsia" w:ascii="宋体" w:hAnsi="宋体" w:eastAsia="宋体" w:cs="宋体"/>
          <w:color w:val="auto"/>
          <w:lang w:val="en-US" w:eastAsia="zh-CN"/>
        </w:rPr>
      </w:pPr>
    </w:p>
    <w:p w14:paraId="59F25FCD">
      <w:pPr>
        <w:bidi w:val="0"/>
        <w:rPr>
          <w:rFonts w:hint="eastAsia" w:ascii="宋体" w:hAnsi="宋体" w:eastAsia="宋体" w:cs="宋体"/>
          <w:color w:val="auto"/>
          <w:lang w:val="en-US" w:eastAsia="zh-CN"/>
        </w:rPr>
      </w:pPr>
    </w:p>
    <w:p w14:paraId="79448B92">
      <w:pPr>
        <w:tabs>
          <w:tab w:val="left" w:pos="606"/>
        </w:tabs>
        <w:bidi w:val="0"/>
        <w:jc w:val="left"/>
        <w:rPr>
          <w:rFonts w:hint="eastAsia" w:ascii="宋体" w:hAnsi="宋体" w:eastAsia="宋体" w:cs="宋体"/>
          <w:color w:val="auto"/>
          <w:lang w:val="en-US" w:eastAsia="zh-CN"/>
        </w:rPr>
        <w:sectPr>
          <w:footerReference r:id="rId8" w:type="default"/>
          <w:pgSz w:w="11906" w:h="16838"/>
          <w:pgMar w:top="1191" w:right="1588" w:bottom="39" w:left="1365" w:header="851" w:footer="907" w:gutter="0"/>
          <w:pgBorders>
            <w:top w:val="none" w:sz="0" w:space="0"/>
            <w:left w:val="none" w:sz="0" w:space="0"/>
            <w:bottom w:val="none" w:sz="0" w:space="0"/>
            <w:right w:val="none" w:sz="0" w:space="0"/>
          </w:pgBorders>
          <w:cols w:space="0" w:num="1"/>
          <w:rtlGutter w:val="0"/>
          <w:docGrid w:linePitch="360" w:charSpace="0"/>
        </w:sectPr>
      </w:pPr>
      <w:r>
        <w:rPr>
          <w:rFonts w:hint="eastAsia" w:ascii="宋体" w:hAnsi="宋体" w:eastAsia="宋体" w:cs="宋体"/>
          <w:color w:val="auto"/>
          <w:lang w:val="en-US" w:eastAsia="zh-CN"/>
        </w:rPr>
        <w:tab/>
      </w:r>
    </w:p>
    <w:p w14:paraId="7FC9C948">
      <w:pPr>
        <w:jc w:val="left"/>
        <w:outlineLvl w:val="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附件2</w:t>
      </w:r>
    </w:p>
    <w:p w14:paraId="61BDEA72">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投标人符合《政府采购法》第二十二条规定条件的声明函</w:t>
      </w:r>
    </w:p>
    <w:p w14:paraId="6A968C03">
      <w:pPr>
        <w:spacing w:line="460" w:lineRule="exact"/>
        <w:rPr>
          <w:rFonts w:hint="eastAsia" w:ascii="宋体" w:hAnsi="宋体" w:eastAsia="宋体" w:cs="宋体"/>
          <w:b/>
          <w:bCs/>
          <w:color w:val="auto"/>
          <w:sz w:val="44"/>
          <w:szCs w:val="44"/>
          <w:highlight w:val="none"/>
        </w:rPr>
      </w:pPr>
    </w:p>
    <w:p w14:paraId="205E184D">
      <w:pPr>
        <w:spacing w:line="520" w:lineRule="exact"/>
        <w:ind w:firstLine="48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我单位参加（项目名称），（项目编号）投标活动。针对《中华人民共和国政府采购法》第二十二条规定做出如下声明：</w:t>
      </w:r>
    </w:p>
    <w:p w14:paraId="2522C1CF">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highlight w:val="none"/>
        </w:rPr>
        <w:t>1.我单位具有独立承担民事责任的能力；</w:t>
      </w:r>
    </w:p>
    <w:p w14:paraId="5CB02192">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7A52C43E">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0F3E080C">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77C4528F">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D2B943F">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6532EC1B">
      <w:pPr>
        <w:spacing w:line="500" w:lineRule="exact"/>
        <w:ind w:firstLine="482"/>
        <w:rPr>
          <w:rFonts w:hint="eastAsia" w:ascii="宋体" w:hAnsi="宋体" w:eastAsia="宋体" w:cs="宋体"/>
          <w:color w:val="auto"/>
          <w:sz w:val="24"/>
          <w:highlight w:val="none"/>
        </w:rPr>
      </w:pPr>
    </w:p>
    <w:p w14:paraId="6AD331C1">
      <w:pPr>
        <w:spacing w:line="500" w:lineRule="exact"/>
        <w:rPr>
          <w:rFonts w:hint="eastAsia" w:ascii="宋体" w:hAnsi="宋体" w:eastAsia="宋体" w:cs="宋体"/>
          <w:bCs/>
          <w:color w:val="auto"/>
          <w:sz w:val="24"/>
          <w:highlight w:val="none"/>
        </w:rPr>
      </w:pPr>
    </w:p>
    <w:p w14:paraId="11B72FD9">
      <w:pPr>
        <w:spacing w:line="500" w:lineRule="exact"/>
        <w:rPr>
          <w:rFonts w:hint="eastAsia" w:ascii="宋体" w:hAnsi="宋体" w:eastAsia="宋体" w:cs="宋体"/>
          <w:bCs/>
          <w:color w:val="auto"/>
          <w:sz w:val="24"/>
          <w:highlight w:val="none"/>
        </w:rPr>
      </w:pPr>
    </w:p>
    <w:p w14:paraId="66EF2CF5">
      <w:pPr>
        <w:spacing w:line="4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承诺人名称（加盖CA电子公章）：</w:t>
      </w:r>
    </w:p>
    <w:p w14:paraId="4D60CC6E">
      <w:pPr>
        <w:spacing w:line="460" w:lineRule="exact"/>
        <w:jc w:val="right"/>
        <w:rPr>
          <w:rFonts w:hint="eastAsia" w:ascii="宋体" w:hAnsi="宋体" w:eastAsia="宋体" w:cs="宋体"/>
          <w:bCs/>
          <w:color w:val="auto"/>
          <w:sz w:val="24"/>
          <w:highlight w:val="none"/>
        </w:rPr>
      </w:pPr>
    </w:p>
    <w:p w14:paraId="6AD7CE5B">
      <w:pPr>
        <w:spacing w:line="460" w:lineRule="exact"/>
        <w:jc w:val="righ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日期：年月日</w:t>
      </w:r>
    </w:p>
    <w:p w14:paraId="2AA4C072">
      <w:pPr>
        <w:spacing w:line="560" w:lineRule="exact"/>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clear="all"/>
      </w:r>
      <w:bookmarkStart w:id="223" w:name="_Toc186493285"/>
      <w:r>
        <w:rPr>
          <w:rFonts w:hint="eastAsia" w:ascii="宋体" w:hAnsi="宋体" w:eastAsia="宋体" w:cs="宋体"/>
          <w:b/>
          <w:color w:val="auto"/>
          <w:sz w:val="24"/>
          <w:szCs w:val="24"/>
          <w:highlight w:val="none"/>
        </w:rPr>
        <w:t>附件</w:t>
      </w:r>
      <w:bookmarkEnd w:id="223"/>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 xml:space="preserve">    </w:t>
      </w:r>
    </w:p>
    <w:p w14:paraId="2F0FBF40">
      <w:pPr>
        <w:spacing w:line="56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17643F10">
      <w:pPr>
        <w:spacing w:line="480" w:lineRule="exact"/>
        <w:rPr>
          <w:rFonts w:hint="eastAsia" w:ascii="宋体" w:hAnsi="宋体" w:eastAsia="宋体" w:cs="宋体"/>
          <w:color w:val="auto"/>
          <w:sz w:val="24"/>
          <w:szCs w:val="24"/>
          <w:highlight w:val="none"/>
        </w:rPr>
      </w:pPr>
    </w:p>
    <w:p w14:paraId="3AC20AEF">
      <w:pPr>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先生/女士： 现任我单位职务，为法定代表人，特此证明。</w:t>
      </w:r>
    </w:p>
    <w:p w14:paraId="1D24AB1E">
      <w:pPr>
        <w:spacing w:line="480" w:lineRule="exact"/>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p>
    <w:p w14:paraId="01030609">
      <w:pPr>
        <w:spacing w:line="480" w:lineRule="exact"/>
        <w:ind w:firstLine="480"/>
        <w:rPr>
          <w:rFonts w:hint="eastAsia" w:ascii="宋体" w:hAnsi="宋体" w:eastAsia="宋体" w:cs="宋体"/>
          <w:color w:val="auto"/>
          <w:sz w:val="24"/>
          <w:szCs w:val="24"/>
          <w:highlight w:val="none"/>
        </w:rPr>
      </w:pPr>
    </w:p>
    <w:p w14:paraId="1BB91FA7">
      <w:pPr>
        <w:spacing w:line="46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注：提供法定代表人的身份证扫描件</w:t>
      </w:r>
      <w:r>
        <w:rPr>
          <w:rFonts w:hint="eastAsia" w:ascii="宋体" w:hAnsi="宋体" w:eastAsia="宋体" w:cs="宋体"/>
          <w:bCs/>
          <w:color w:val="auto"/>
          <w:sz w:val="24"/>
          <w:highlight w:val="none"/>
        </w:rPr>
        <w:t>（加盖CA电子公章）</w:t>
      </w:r>
      <w:r>
        <w:rPr>
          <w:rFonts w:hint="eastAsia" w:ascii="宋体" w:hAnsi="宋体" w:eastAsia="宋体" w:cs="宋体"/>
          <w:b/>
          <w:color w:val="auto"/>
          <w:sz w:val="24"/>
          <w:szCs w:val="24"/>
          <w:highlight w:val="none"/>
        </w:rPr>
        <w:br w:type="page" w:clear="all"/>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 xml:space="preserve">            </w:t>
      </w:r>
    </w:p>
    <w:p w14:paraId="3777BA25">
      <w:pPr>
        <w:spacing w:line="460" w:lineRule="exact"/>
        <w:ind w:firstLine="480"/>
        <w:jc w:val="center"/>
        <w:rPr>
          <w:rFonts w:hint="eastAsia" w:ascii="宋体" w:hAnsi="宋体" w:eastAsia="宋体" w:cs="宋体"/>
          <w:bCs/>
          <w:color w:val="auto"/>
          <w:sz w:val="30"/>
          <w:szCs w:val="30"/>
          <w:highlight w:val="none"/>
        </w:rPr>
      </w:pPr>
      <w:r>
        <w:rPr>
          <w:rFonts w:hint="eastAsia" w:ascii="宋体" w:hAnsi="宋体" w:eastAsia="宋体" w:cs="宋体"/>
          <w:b/>
          <w:color w:val="auto"/>
          <w:sz w:val="30"/>
          <w:szCs w:val="30"/>
          <w:highlight w:val="none"/>
        </w:rPr>
        <w:t>法人授权书</w:t>
      </w:r>
    </w:p>
    <w:p w14:paraId="3FED56E2">
      <w:pPr>
        <w:tabs>
          <w:tab w:val="left" w:pos="36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本授权书声明：（投标人名称）授权（被授权人的姓名）为我方就项目采购活动的合法代理人，以本单位名义全权处理一切与该项目采购有关的事务。</w:t>
      </w:r>
    </w:p>
    <w:p w14:paraId="16802246">
      <w:pPr>
        <w:tabs>
          <w:tab w:val="left" w:pos="36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本授权书于______年____月____日起生效，特此声明。</w:t>
      </w:r>
    </w:p>
    <w:p w14:paraId="07F7EB3F">
      <w:pPr>
        <w:tabs>
          <w:tab w:val="left" w:pos="360"/>
        </w:tabs>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被授权人身份证号码：</w:t>
      </w:r>
    </w:p>
    <w:p w14:paraId="310DB739">
      <w:pPr>
        <w:tabs>
          <w:tab w:val="left" w:pos="360"/>
        </w:tabs>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被授权人联系电话（手机）：</w:t>
      </w:r>
    </w:p>
    <w:p w14:paraId="3530689C">
      <w:pPr>
        <w:tabs>
          <w:tab w:val="left" w:pos="36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w:t>
      </w:r>
      <w:r>
        <w:rPr>
          <w:rFonts w:hint="eastAsia" w:ascii="宋体" w:hAnsi="宋体" w:eastAsia="宋体" w:cs="宋体"/>
          <w:color w:val="auto"/>
          <w:sz w:val="24"/>
          <w:szCs w:val="24"/>
          <w:highlight w:val="none"/>
          <w:u w:val="single"/>
        </w:rPr>
        <w:t xml:space="preserve">（加盖CA电子公章）：                   </w:t>
      </w:r>
    </w:p>
    <w:p w14:paraId="34FC1FC4">
      <w:pPr>
        <w:tabs>
          <w:tab w:val="left" w:pos="360"/>
        </w:tabs>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单位地址：</w:t>
      </w:r>
    </w:p>
    <w:p w14:paraId="4BD4158D">
      <w:pPr>
        <w:tabs>
          <w:tab w:val="left" w:pos="360"/>
        </w:tabs>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bookmarkStart w:id="224" w:name="_Hlt26955070"/>
      <w:bookmarkEnd w:id="224"/>
      <w:bookmarkStart w:id="225" w:name="_格式3__银行出具的资信证明"/>
      <w:bookmarkEnd w:id="225"/>
      <w:bookmarkStart w:id="226" w:name="_Hlt26671380"/>
      <w:bookmarkEnd w:id="226"/>
    </w:p>
    <w:p w14:paraId="699D7E08">
      <w:pPr>
        <w:keepNext/>
        <w:keepLines/>
        <w:spacing w:before="260" w:after="260" w:line="416" w:lineRule="auto"/>
        <w:rPr>
          <w:rFonts w:hint="eastAsia" w:ascii="宋体" w:hAnsi="宋体" w:eastAsia="宋体" w:cs="宋体"/>
          <w:b/>
          <w:color w:val="auto"/>
          <w:sz w:val="24"/>
          <w:szCs w:val="44"/>
          <w:highlight w:val="none"/>
        </w:rPr>
      </w:pPr>
    </w:p>
    <w:p w14:paraId="794F1E83">
      <w:pPr>
        <w:spacing w:line="460" w:lineRule="exact"/>
        <w:ind w:firstLine="480"/>
        <w:jc w:val="left"/>
        <w:rPr>
          <w:rFonts w:hint="eastAsia" w:ascii="宋体" w:hAnsi="宋体" w:eastAsia="宋体" w:cs="宋体"/>
          <w:b/>
          <w:color w:val="auto"/>
          <w:sz w:val="24"/>
          <w:highlight w:val="none"/>
        </w:rPr>
      </w:pPr>
      <w:r>
        <w:rPr>
          <w:rFonts w:hint="eastAsia" w:ascii="宋体" w:hAnsi="宋体" w:eastAsia="宋体" w:cs="宋体"/>
          <w:bCs/>
          <w:color w:val="auto"/>
          <w:sz w:val="24"/>
          <w:szCs w:val="44"/>
          <w:highlight w:val="none"/>
        </w:rPr>
        <w:t>注：提供被授权人身份证扫描件（加盖CA电子公章）</w:t>
      </w:r>
      <w:r>
        <w:rPr>
          <w:rFonts w:hint="eastAsia" w:ascii="宋体" w:hAnsi="宋体" w:eastAsia="宋体" w:cs="宋体"/>
          <w:bCs/>
          <w:color w:val="auto"/>
          <w:sz w:val="24"/>
          <w:szCs w:val="44"/>
          <w:highlight w:val="none"/>
        </w:rPr>
        <w:br w:type="page" w:clear="all"/>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 xml:space="preserve">                            </w:t>
      </w:r>
    </w:p>
    <w:p w14:paraId="10CCA6B6">
      <w:pPr>
        <w:spacing w:line="460" w:lineRule="exact"/>
        <w:ind w:firstLine="48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投标函</w:t>
      </w:r>
    </w:p>
    <w:p w14:paraId="048456E9">
      <w:pPr>
        <w:spacing w:line="42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如东县洋口镇人民政府</w:t>
      </w:r>
    </w:p>
    <w:p w14:paraId="3152465D">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根据贵方的（项目名称）的招标文件，正式授权下述被授权人_____(姓名)代表我方（投标人的名称），全权处理本次项目投标的有关事宜。</w:t>
      </w:r>
    </w:p>
    <w:p w14:paraId="26297417">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据此函，被授权人_____(姓名)兹宣布同意如下：</w:t>
      </w:r>
    </w:p>
    <w:p w14:paraId="39237990">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1.按招标文件规定的各项要求，向买方提供所需货物（包含与货物相关的服务）。</w:t>
      </w:r>
    </w:p>
    <w:p w14:paraId="53A82E49">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2.我们完全理解贵方不一定将合同授予最低报价的投标人。</w:t>
      </w:r>
    </w:p>
    <w:p w14:paraId="14952979">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3.我们已详细审核全部招标文件及其有效补充文件，我们知道必须放弃提出含糊不清或误解问题的权利。</w:t>
      </w:r>
    </w:p>
    <w:p w14:paraId="34DC9AB5">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4.我们同意从规定的开标日期起遵循本投标文件，并在规定的投标有效期期满之前均具有约束力。</w:t>
      </w:r>
    </w:p>
    <w:p w14:paraId="47A0F28C">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5.同意向贵方提供贵方可能另外要求的与投标有关的任何证据或资料，并保证我方已提供和将要提供的文件是真实的、准确的。</w:t>
      </w:r>
    </w:p>
    <w:p w14:paraId="38FA933A">
      <w:pPr>
        <w:spacing w:line="420" w:lineRule="exact"/>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6.一旦我方中标,我方将根据招标文件的规定，严格履行合同的责任和义务,并保证在招标文件规定的时间完成项目，交付买方验收、使用。</w:t>
      </w:r>
    </w:p>
    <w:p w14:paraId="4325C781">
      <w:pPr>
        <w:spacing w:line="420" w:lineRule="exact"/>
        <w:ind w:left="42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7.与本投标有关的正式通讯地址为：</w:t>
      </w:r>
    </w:p>
    <w:p w14:paraId="3EAA9F9D">
      <w:pPr>
        <w:spacing w:line="420" w:lineRule="exact"/>
        <w:ind w:left="420"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p>
    <w:p w14:paraId="51C0D682">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p>
    <w:p w14:paraId="40FBC88B">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1B59F8C1">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p w14:paraId="531E52AE">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投标人开户行：</w:t>
      </w:r>
    </w:p>
    <w:p w14:paraId="5DA44FFC">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p w14:paraId="7BE99161">
      <w:pPr>
        <w:spacing w:line="420" w:lineRule="exact"/>
        <w:ind w:left="420"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期：_____年____月____日</w:t>
      </w:r>
    </w:p>
    <w:p w14:paraId="7CCD627B">
      <w:pPr>
        <w:spacing w:line="560" w:lineRule="exact"/>
        <w:ind w:firstLine="240"/>
        <w:jc w:val="center"/>
        <w:rPr>
          <w:rFonts w:hint="eastAsia" w:ascii="宋体" w:hAnsi="宋体" w:eastAsia="宋体" w:cs="宋体"/>
          <w:bCs/>
          <w:color w:val="auto"/>
          <w:sz w:val="24"/>
          <w:highlight w:val="none"/>
        </w:rPr>
      </w:pPr>
    </w:p>
    <w:p w14:paraId="24BC7F2E">
      <w:pPr>
        <w:jc w:val="left"/>
        <w:outlineLvl w:val="0"/>
        <w:rPr>
          <w:rFonts w:hint="eastAsia" w:ascii="宋体" w:hAnsi="宋体" w:eastAsia="宋体" w:cs="宋体"/>
          <w:b/>
          <w:color w:val="auto"/>
          <w:sz w:val="24"/>
          <w:highlight w:val="none"/>
          <w:lang w:eastAsia="zh-CN"/>
        </w:rPr>
      </w:pPr>
      <w:r>
        <w:rPr>
          <w:rFonts w:hint="eastAsia" w:ascii="宋体" w:hAnsi="宋体" w:eastAsia="宋体" w:cs="宋体"/>
          <w:bCs/>
          <w:color w:val="auto"/>
          <w:sz w:val="24"/>
          <w:highlight w:val="none"/>
        </w:rPr>
        <w:br w:type="page" w:clear="all"/>
      </w:r>
      <w:bookmarkStart w:id="227" w:name="_Toc186493286"/>
      <w:r>
        <w:rPr>
          <w:rFonts w:hint="eastAsia" w:ascii="宋体" w:hAnsi="宋体" w:eastAsia="宋体" w:cs="宋体"/>
          <w:b/>
          <w:color w:val="auto"/>
          <w:sz w:val="24"/>
          <w:highlight w:val="none"/>
        </w:rPr>
        <w:t>附件</w:t>
      </w:r>
      <w:bookmarkEnd w:id="227"/>
      <w:r>
        <w:rPr>
          <w:rFonts w:hint="eastAsia" w:ascii="宋体" w:hAnsi="宋体" w:eastAsia="宋体" w:cs="宋体"/>
          <w:b/>
          <w:color w:val="auto"/>
          <w:sz w:val="24"/>
          <w:highlight w:val="none"/>
          <w:lang w:val="en-US" w:eastAsia="zh-CN"/>
        </w:rPr>
        <w:t>6</w:t>
      </w:r>
    </w:p>
    <w:p w14:paraId="7E61011F">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中小企业声明函（服务）</w:t>
      </w:r>
    </w:p>
    <w:p w14:paraId="36684C2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14:paraId="5554419A">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44191146">
      <w:pPr>
        <w:spacing w:line="400" w:lineRule="exact"/>
        <w:ind w:firstLine="360"/>
        <w:rPr>
          <w:rFonts w:hint="eastAsia" w:ascii="宋体" w:hAnsi="宋体" w:eastAsia="宋体" w:cs="宋体"/>
          <w:i/>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i/>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（采购文件中明确的所属行业） </w:t>
      </w:r>
      <w:r>
        <w:rPr>
          <w:rFonts w:hint="eastAsia" w:ascii="宋体" w:hAnsi="宋体" w:eastAsia="宋体" w:cs="宋体"/>
          <w:color w:val="auto"/>
          <w:sz w:val="24"/>
          <w:szCs w:val="24"/>
          <w:highlight w:val="none"/>
        </w:rPr>
        <w:t>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 □小型企业 □微型企业）；</w:t>
      </w:r>
    </w:p>
    <w:p w14:paraId="3DEA8650">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CD4262">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D66C474">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3447987">
      <w:pPr>
        <w:spacing w:line="400" w:lineRule="exact"/>
        <w:ind w:right="720"/>
        <w:rPr>
          <w:rFonts w:hint="eastAsia" w:ascii="宋体" w:hAnsi="宋体" w:eastAsia="宋体" w:cs="宋体"/>
          <w:color w:val="auto"/>
          <w:sz w:val="24"/>
          <w:szCs w:val="24"/>
          <w:highlight w:val="none"/>
        </w:rPr>
      </w:pPr>
    </w:p>
    <w:p w14:paraId="6C49863F">
      <w:pPr>
        <w:spacing w:line="400" w:lineRule="exact"/>
        <w:ind w:right="180" w:firstLine="36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供应商全称（加盖CA电子公章）：</w:t>
      </w:r>
    </w:p>
    <w:p w14:paraId="7A31CCFC">
      <w:pPr>
        <w:spacing w:line="400" w:lineRule="exact"/>
        <w:ind w:right="480" w:firstLine="5520"/>
        <w:rPr>
          <w:rFonts w:hint="eastAsia" w:ascii="宋体" w:hAnsi="宋体" w:eastAsia="宋体" w:cs="宋体"/>
          <w:color w:val="auto"/>
          <w:sz w:val="24"/>
          <w:szCs w:val="24"/>
          <w:highlight w:val="none"/>
        </w:rPr>
      </w:pPr>
    </w:p>
    <w:p w14:paraId="00F00660">
      <w:pPr>
        <w:spacing w:line="400" w:lineRule="exact"/>
        <w:ind w:right="480" w:firstLine="55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2E4A574">
      <w:pPr>
        <w:spacing w:line="400" w:lineRule="exact"/>
        <w:ind w:firstLine="240"/>
        <w:rPr>
          <w:rFonts w:hint="eastAsia" w:ascii="宋体" w:hAnsi="宋体" w:eastAsia="宋体" w:cs="宋体"/>
          <w:color w:val="auto"/>
          <w:sz w:val="24"/>
          <w:szCs w:val="24"/>
          <w:highlight w:val="none"/>
        </w:rPr>
      </w:pPr>
    </w:p>
    <w:p w14:paraId="507F99FE">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951AA8A">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1、如项目类型为“服务”，请按照此格式填写。</w:t>
      </w:r>
    </w:p>
    <w:p w14:paraId="5DF33D82">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14:paraId="68E5CB35">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3、专门面向中小微型企业采购的项目，投标人如不提供此声明函，则不能通过资格审查；非专门面向中小微型企业采购的项目，投标人如不提供此声明函，价格将不做相应扣除。</w:t>
      </w:r>
    </w:p>
    <w:p w14:paraId="7112C085">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4、投标人自行勾选承接企业的企业规模类型。</w:t>
      </w:r>
    </w:p>
    <w:p w14:paraId="7EE69DBA">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5、中标人的《中小企业声明函》将随中标结果同时公告。投标人按照本办法规定提供声明函内容不实的，属于提供虚假材料谋取中标、成交，依照《中华人民共和国政府采购法》等国家有关规定追究相应责任。</w:t>
      </w:r>
    </w:p>
    <w:p w14:paraId="1B700F0D">
      <w:pPr>
        <w:spacing w:line="400" w:lineRule="exact"/>
        <w:ind w:firstLine="482"/>
        <w:rPr>
          <w:rFonts w:hint="eastAsia" w:ascii="宋体" w:hAnsi="宋体" w:eastAsia="宋体" w:cs="宋体"/>
          <w:b/>
          <w:color w:val="auto"/>
          <w:sz w:val="24"/>
          <w:szCs w:val="24"/>
          <w:highlight w:val="none"/>
        </w:rPr>
      </w:pPr>
    </w:p>
    <w:p w14:paraId="1E91313D">
      <w:pPr>
        <w:spacing w:line="588" w:lineRule="exact"/>
        <w:jc w:val="left"/>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br w:type="page" w:clear="all"/>
      </w:r>
      <w:bookmarkStart w:id="228" w:name="_Toc186493287"/>
      <w:r>
        <w:rPr>
          <w:rFonts w:hint="eastAsia" w:ascii="宋体" w:hAnsi="宋体" w:eastAsia="宋体" w:cs="宋体"/>
          <w:b/>
          <w:color w:val="auto"/>
          <w:sz w:val="24"/>
          <w:szCs w:val="24"/>
          <w:highlight w:val="none"/>
        </w:rPr>
        <w:t>附件</w:t>
      </w:r>
      <w:bookmarkEnd w:id="228"/>
      <w:r>
        <w:rPr>
          <w:rFonts w:hint="eastAsia" w:ascii="宋体" w:hAnsi="宋体" w:eastAsia="宋体" w:cs="宋体"/>
          <w:b/>
          <w:color w:val="auto"/>
          <w:sz w:val="24"/>
          <w:szCs w:val="24"/>
          <w:highlight w:val="none"/>
          <w:lang w:val="en-US" w:eastAsia="zh-CN"/>
        </w:rPr>
        <w:t>7</w:t>
      </w:r>
    </w:p>
    <w:p w14:paraId="0E282B47">
      <w:pPr>
        <w:spacing w:line="588"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残疾人福利性单位声明函（服务）</w:t>
      </w:r>
    </w:p>
    <w:p w14:paraId="36030ECE">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141号）的规定，本单位为符合条件的残疾人福利性单位，且本单位参加单位的采购文件项目编号为的项目采购活动由本单位提供服务。</w:t>
      </w:r>
    </w:p>
    <w:p w14:paraId="4DAD6CFF">
      <w:pPr>
        <w:spacing w:line="4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22B030B">
      <w:pPr>
        <w:spacing w:line="0" w:lineRule="atLeast"/>
        <w:ind w:firstLine="480"/>
        <w:rPr>
          <w:rFonts w:hint="eastAsia" w:ascii="宋体" w:hAnsi="宋体" w:eastAsia="宋体" w:cs="宋体"/>
          <w:color w:val="auto"/>
          <w:sz w:val="24"/>
          <w:highlight w:val="none"/>
        </w:rPr>
      </w:pPr>
    </w:p>
    <w:p w14:paraId="7464343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A0FFCBB">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1、如项目类型为“服务”，请按照此格式填写。</w:t>
      </w:r>
    </w:p>
    <w:p w14:paraId="6EFA0A5D">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2、专门面向中小微型企业采购的项目，投标人为残疾人福利性单位并提供服务的必须提供此声明函，否则将不能通过资格审查。</w:t>
      </w:r>
    </w:p>
    <w:p w14:paraId="76D7F82D">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3、非专门面向中小微型企业采购的项目，投标人如不提供此声明函，价格将不做相应扣除。</w:t>
      </w:r>
    </w:p>
    <w:p w14:paraId="322D52F2">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4、中标人为残疾人福利性单位的，此声明函将随中标结果同时公告，接受社会监督。</w:t>
      </w:r>
    </w:p>
    <w:p w14:paraId="242F663D">
      <w:pPr>
        <w:spacing w:line="588" w:lineRule="exact"/>
        <w:ind w:firstLine="624"/>
        <w:rPr>
          <w:rFonts w:hint="eastAsia" w:ascii="宋体" w:hAnsi="宋体" w:eastAsia="宋体" w:cs="宋体"/>
          <w:color w:val="auto"/>
          <w:spacing w:val="6"/>
          <w:sz w:val="30"/>
          <w:szCs w:val="30"/>
          <w:highlight w:val="none"/>
        </w:rPr>
      </w:pPr>
    </w:p>
    <w:p w14:paraId="24C15E3A">
      <w:pPr>
        <w:tabs>
          <w:tab w:val="left" w:pos="4860"/>
        </w:tabs>
        <w:spacing w:line="0" w:lineRule="atLeast"/>
        <w:ind w:right="1559" w:firstLine="62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供应商全称（加盖CA电子公章）：</w:t>
      </w:r>
    </w:p>
    <w:p w14:paraId="7CE1C5A3">
      <w:pPr>
        <w:tabs>
          <w:tab w:val="left" w:pos="4860"/>
        </w:tabs>
        <w:spacing w:line="0" w:lineRule="atLeast"/>
        <w:ind w:right="1559" w:firstLine="480"/>
        <w:jc w:val="center"/>
        <w:rPr>
          <w:rFonts w:hint="eastAsia" w:ascii="宋体" w:hAnsi="宋体" w:eastAsia="宋体" w:cs="宋体"/>
          <w:color w:val="auto"/>
          <w:sz w:val="24"/>
          <w:highlight w:val="none"/>
        </w:rPr>
      </w:pPr>
    </w:p>
    <w:p w14:paraId="5D82D9ED">
      <w:pPr>
        <w:tabs>
          <w:tab w:val="left" w:pos="4860"/>
        </w:tabs>
        <w:spacing w:line="0" w:lineRule="atLeast"/>
        <w:ind w:right="1559"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952998C">
      <w:pPr>
        <w:spacing w:line="420" w:lineRule="exact"/>
        <w:jc w:val="center"/>
        <w:rPr>
          <w:rFonts w:hint="eastAsia" w:ascii="宋体" w:hAnsi="宋体" w:eastAsia="宋体" w:cs="宋体"/>
          <w:b/>
          <w:color w:val="auto"/>
          <w:sz w:val="32"/>
          <w:szCs w:val="32"/>
          <w:highlight w:val="none"/>
        </w:rPr>
      </w:pPr>
    </w:p>
    <w:p w14:paraId="79D5316B">
      <w:pPr>
        <w:spacing w:line="420" w:lineRule="exact"/>
        <w:rPr>
          <w:rFonts w:hint="eastAsia" w:ascii="宋体" w:hAnsi="宋体" w:eastAsia="宋体" w:cs="宋体"/>
          <w:b/>
          <w:color w:val="auto"/>
          <w:sz w:val="24"/>
          <w:szCs w:val="24"/>
          <w:highlight w:val="none"/>
        </w:rPr>
      </w:pPr>
    </w:p>
    <w:p w14:paraId="67C3FCE6">
      <w:pPr>
        <w:spacing w:line="420" w:lineRule="exact"/>
        <w:rPr>
          <w:rFonts w:hint="eastAsia" w:ascii="宋体" w:hAnsi="宋体" w:eastAsia="宋体" w:cs="宋体"/>
          <w:b/>
          <w:color w:val="auto"/>
          <w:sz w:val="24"/>
          <w:szCs w:val="24"/>
          <w:highlight w:val="none"/>
        </w:rPr>
      </w:pPr>
    </w:p>
    <w:p w14:paraId="32D5B292">
      <w:pPr>
        <w:spacing w:line="420" w:lineRule="exact"/>
        <w:rPr>
          <w:rFonts w:hint="eastAsia" w:ascii="宋体" w:hAnsi="宋体" w:eastAsia="宋体" w:cs="宋体"/>
          <w:b/>
          <w:color w:val="auto"/>
          <w:sz w:val="24"/>
          <w:szCs w:val="24"/>
          <w:highlight w:val="none"/>
        </w:rPr>
      </w:pPr>
    </w:p>
    <w:p w14:paraId="4645E30D">
      <w:pPr>
        <w:spacing w:line="420" w:lineRule="exact"/>
        <w:rPr>
          <w:rFonts w:hint="eastAsia" w:ascii="宋体" w:hAnsi="宋体" w:eastAsia="宋体" w:cs="宋体"/>
          <w:b/>
          <w:color w:val="auto"/>
          <w:sz w:val="24"/>
          <w:szCs w:val="24"/>
          <w:highlight w:val="none"/>
        </w:rPr>
      </w:pPr>
    </w:p>
    <w:p w14:paraId="285C9A29">
      <w:pPr>
        <w:spacing w:line="420" w:lineRule="exact"/>
        <w:rPr>
          <w:rFonts w:hint="eastAsia" w:ascii="宋体" w:hAnsi="宋体" w:eastAsia="宋体" w:cs="宋体"/>
          <w:b/>
          <w:color w:val="auto"/>
          <w:sz w:val="24"/>
          <w:szCs w:val="24"/>
          <w:highlight w:val="none"/>
        </w:rPr>
      </w:pPr>
    </w:p>
    <w:p w14:paraId="17AADF72">
      <w:pPr>
        <w:spacing w:line="420" w:lineRule="exact"/>
        <w:rPr>
          <w:rFonts w:hint="eastAsia" w:ascii="宋体" w:hAnsi="宋体" w:eastAsia="宋体" w:cs="宋体"/>
          <w:b/>
          <w:color w:val="auto"/>
          <w:sz w:val="24"/>
          <w:szCs w:val="24"/>
          <w:highlight w:val="none"/>
        </w:rPr>
      </w:pPr>
    </w:p>
    <w:p w14:paraId="3BECCCF9">
      <w:pPr>
        <w:spacing w:line="420" w:lineRule="exact"/>
        <w:rPr>
          <w:rFonts w:hint="eastAsia" w:ascii="宋体" w:hAnsi="宋体" w:eastAsia="宋体" w:cs="宋体"/>
          <w:b/>
          <w:color w:val="auto"/>
          <w:sz w:val="24"/>
          <w:szCs w:val="24"/>
          <w:highlight w:val="none"/>
        </w:rPr>
      </w:pPr>
    </w:p>
    <w:p w14:paraId="45BF7703">
      <w:pPr>
        <w:spacing w:line="420" w:lineRule="exact"/>
        <w:rPr>
          <w:rFonts w:hint="eastAsia" w:ascii="宋体" w:hAnsi="宋体" w:eastAsia="宋体" w:cs="宋体"/>
          <w:b/>
          <w:color w:val="auto"/>
          <w:sz w:val="24"/>
          <w:szCs w:val="24"/>
          <w:highlight w:val="none"/>
        </w:rPr>
      </w:pPr>
    </w:p>
    <w:p w14:paraId="7F14CD52">
      <w:pPr>
        <w:spacing w:line="420" w:lineRule="exact"/>
        <w:rPr>
          <w:rFonts w:hint="eastAsia" w:ascii="宋体" w:hAnsi="宋体" w:eastAsia="宋体" w:cs="宋体"/>
          <w:b/>
          <w:color w:val="auto"/>
          <w:sz w:val="24"/>
          <w:szCs w:val="24"/>
          <w:highlight w:val="none"/>
        </w:rPr>
      </w:pPr>
    </w:p>
    <w:p w14:paraId="2313ACFB">
      <w:pPr>
        <w:spacing w:line="420" w:lineRule="exact"/>
        <w:rPr>
          <w:rFonts w:hint="eastAsia" w:ascii="宋体" w:hAnsi="宋体" w:eastAsia="宋体" w:cs="宋体"/>
          <w:b/>
          <w:color w:val="auto"/>
          <w:sz w:val="24"/>
          <w:szCs w:val="24"/>
          <w:highlight w:val="none"/>
        </w:rPr>
      </w:pPr>
    </w:p>
    <w:p w14:paraId="10ADF4FE">
      <w:pPr>
        <w:spacing w:line="420" w:lineRule="exact"/>
        <w:rPr>
          <w:rFonts w:hint="eastAsia" w:ascii="宋体" w:hAnsi="宋体" w:eastAsia="宋体" w:cs="宋体"/>
          <w:b/>
          <w:color w:val="auto"/>
          <w:sz w:val="24"/>
          <w:szCs w:val="24"/>
          <w:highlight w:val="none"/>
        </w:rPr>
      </w:pPr>
    </w:p>
    <w:p w14:paraId="61CDFD12">
      <w:pPr>
        <w:spacing w:line="420" w:lineRule="exact"/>
        <w:rPr>
          <w:rFonts w:hint="eastAsia" w:ascii="宋体" w:hAnsi="宋体" w:eastAsia="宋体" w:cs="宋体"/>
          <w:b/>
          <w:color w:val="auto"/>
          <w:sz w:val="24"/>
          <w:szCs w:val="24"/>
          <w:highlight w:val="none"/>
        </w:rPr>
      </w:pPr>
    </w:p>
    <w:p w14:paraId="039AF57A">
      <w:pPr>
        <w:spacing w:line="420" w:lineRule="exact"/>
        <w:outlineLvl w:val="0"/>
        <w:rPr>
          <w:rFonts w:hint="eastAsia" w:ascii="宋体" w:hAnsi="宋体" w:eastAsia="宋体" w:cs="宋体"/>
          <w:b/>
          <w:color w:val="auto"/>
          <w:sz w:val="24"/>
          <w:szCs w:val="24"/>
          <w:highlight w:val="none"/>
        </w:rPr>
      </w:pPr>
      <w:bookmarkStart w:id="229" w:name="_Toc186493288"/>
    </w:p>
    <w:p w14:paraId="558E32BC">
      <w:pPr>
        <w:spacing w:line="420" w:lineRule="exact"/>
        <w:outlineLvl w:val="0"/>
        <w:rPr>
          <w:rFonts w:hint="eastAsia" w:ascii="宋体" w:hAnsi="宋体" w:eastAsia="宋体" w:cs="宋体"/>
          <w:b/>
          <w:color w:val="auto"/>
          <w:sz w:val="24"/>
          <w:szCs w:val="24"/>
          <w:highlight w:val="none"/>
        </w:rPr>
      </w:pPr>
    </w:p>
    <w:p w14:paraId="6E93D7F3">
      <w:pPr>
        <w:spacing w:line="420" w:lineRule="exact"/>
        <w:outlineLvl w:val="0"/>
        <w:rPr>
          <w:rFonts w:hint="eastAsia" w:ascii="宋体" w:hAnsi="宋体" w:eastAsia="宋体" w:cs="宋体"/>
          <w:b/>
          <w:color w:val="auto"/>
          <w:sz w:val="24"/>
          <w:szCs w:val="24"/>
          <w:highlight w:val="none"/>
        </w:rPr>
      </w:pPr>
    </w:p>
    <w:p w14:paraId="093F8E00">
      <w:pPr>
        <w:spacing w:line="420" w:lineRule="exact"/>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附件</w:t>
      </w:r>
      <w:bookmarkEnd w:id="229"/>
      <w:r>
        <w:rPr>
          <w:rFonts w:hint="eastAsia" w:ascii="宋体" w:hAnsi="宋体" w:eastAsia="宋体" w:cs="宋体"/>
          <w:b/>
          <w:color w:val="auto"/>
          <w:sz w:val="24"/>
          <w:szCs w:val="24"/>
          <w:highlight w:val="none"/>
          <w:lang w:val="en-US" w:eastAsia="zh-CN"/>
        </w:rPr>
        <w:t>8</w:t>
      </w:r>
    </w:p>
    <w:p w14:paraId="123752F9">
      <w:pPr>
        <w:spacing w:line="42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监狱和戒毒企业证明材料</w:t>
      </w:r>
    </w:p>
    <w:p w14:paraId="4FC5AA93">
      <w:pPr>
        <w:spacing w:line="420" w:lineRule="exact"/>
        <w:ind w:firstLine="495"/>
        <w:rPr>
          <w:rFonts w:hint="eastAsia" w:ascii="宋体" w:hAnsi="宋体" w:eastAsia="宋体" w:cs="宋体"/>
          <w:color w:val="auto"/>
          <w:sz w:val="28"/>
          <w:szCs w:val="28"/>
          <w:highlight w:val="none"/>
        </w:rPr>
      </w:pPr>
    </w:p>
    <w:p w14:paraId="389DACFA">
      <w:pPr>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（格式自拟）</w:t>
      </w:r>
    </w:p>
    <w:p w14:paraId="1C7143C7">
      <w:pPr>
        <w:spacing w:line="420" w:lineRule="exact"/>
        <w:ind w:firstLine="495"/>
        <w:rPr>
          <w:rFonts w:hint="eastAsia" w:ascii="宋体" w:hAnsi="宋体" w:eastAsia="宋体" w:cs="宋体"/>
          <w:color w:val="auto"/>
          <w:sz w:val="28"/>
          <w:szCs w:val="28"/>
          <w:highlight w:val="none"/>
        </w:rPr>
      </w:pPr>
    </w:p>
    <w:p w14:paraId="12B5FA87">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422CA07">
      <w:pPr>
        <w:spacing w:line="400" w:lineRule="exact"/>
        <w:ind w:firstLine="480"/>
        <w:rPr>
          <w:rFonts w:hint="eastAsia" w:ascii="宋体" w:hAnsi="宋体" w:eastAsia="宋体" w:cs="宋体"/>
          <w:color w:val="auto"/>
          <w:sz w:val="24"/>
          <w:szCs w:val="24"/>
          <w:highlight w:val="none"/>
        </w:rPr>
      </w:pPr>
    </w:p>
    <w:p w14:paraId="0127825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60D2F08">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1、专门面向中小微型企业采购的项目，投标人如不提供此证明材料，则不能通过资格审查；非专门面向中小微型企业采购的项目，投标人如不提供此证明材料，价格将不做相应扣除。</w:t>
      </w:r>
    </w:p>
    <w:p w14:paraId="2B618A5C">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为监狱和戒毒企业的，此证明材料将随中标结果同时公告，接受社会监督。投标人按照本办法规定提供证明材料内容不实的，属于提供虚假材料谋取中标、成交，依照《中华人民共和国政府采购法》等国家有关规定追究相应责任。</w:t>
      </w:r>
    </w:p>
    <w:p w14:paraId="0FBF7B22">
      <w:pPr>
        <w:spacing w:line="400" w:lineRule="exact"/>
        <w:ind w:firstLine="480"/>
        <w:rPr>
          <w:rFonts w:hint="eastAsia" w:ascii="宋体" w:hAnsi="宋体" w:eastAsia="宋体" w:cs="宋体"/>
          <w:color w:val="auto"/>
          <w:sz w:val="24"/>
          <w:szCs w:val="24"/>
          <w:highlight w:val="none"/>
        </w:rPr>
      </w:pPr>
    </w:p>
    <w:p w14:paraId="136F7F2F">
      <w:pPr>
        <w:spacing w:line="560" w:lineRule="exact"/>
        <w:jc w:val="center"/>
        <w:rPr>
          <w:rFonts w:hint="eastAsia" w:ascii="宋体" w:hAnsi="宋体" w:eastAsia="宋体" w:cs="宋体"/>
          <w:b/>
          <w:color w:val="auto"/>
          <w:sz w:val="32"/>
          <w:szCs w:val="32"/>
          <w:highlight w:val="none"/>
        </w:rPr>
      </w:pPr>
    </w:p>
    <w:p w14:paraId="29E32E79">
      <w:pPr>
        <w:spacing w:line="588" w:lineRule="exact"/>
        <w:ind w:firstLine="624"/>
        <w:rPr>
          <w:rFonts w:hint="eastAsia" w:ascii="宋体" w:hAnsi="宋体" w:eastAsia="宋体" w:cs="宋体"/>
          <w:color w:val="auto"/>
          <w:spacing w:val="6"/>
          <w:sz w:val="30"/>
          <w:szCs w:val="30"/>
          <w:highlight w:val="none"/>
        </w:rPr>
      </w:pPr>
    </w:p>
    <w:p w14:paraId="6619AF13">
      <w:pPr>
        <w:tabs>
          <w:tab w:val="left" w:pos="4860"/>
        </w:tabs>
        <w:spacing w:line="0" w:lineRule="atLeast"/>
        <w:ind w:right="1559" w:firstLine="62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供应商全称（加盖CA电子公章）：</w:t>
      </w:r>
    </w:p>
    <w:p w14:paraId="3547FDE2">
      <w:pPr>
        <w:tabs>
          <w:tab w:val="left" w:pos="4860"/>
        </w:tabs>
        <w:spacing w:line="0" w:lineRule="atLeast"/>
        <w:ind w:right="1559" w:firstLine="480"/>
        <w:jc w:val="center"/>
        <w:rPr>
          <w:rFonts w:hint="eastAsia" w:ascii="宋体" w:hAnsi="宋体" w:eastAsia="宋体" w:cs="宋体"/>
          <w:color w:val="auto"/>
          <w:sz w:val="24"/>
          <w:highlight w:val="none"/>
        </w:rPr>
      </w:pPr>
    </w:p>
    <w:p w14:paraId="0C1007FD">
      <w:pPr>
        <w:tabs>
          <w:tab w:val="left" w:pos="4860"/>
        </w:tabs>
        <w:spacing w:line="0" w:lineRule="atLeast"/>
        <w:ind w:right="1559"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ABC4656">
      <w:pPr>
        <w:spacing w:line="560" w:lineRule="exact"/>
        <w:rPr>
          <w:rFonts w:hint="eastAsia" w:ascii="宋体" w:hAnsi="宋体" w:eastAsia="宋体" w:cs="宋体"/>
          <w:b/>
          <w:color w:val="auto"/>
          <w:sz w:val="32"/>
          <w:szCs w:val="32"/>
          <w:highlight w:val="none"/>
        </w:rPr>
      </w:pPr>
    </w:p>
    <w:p w14:paraId="2D0A06E9">
      <w:pPr>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br w:type="page" w:clear="all"/>
      </w:r>
      <w:bookmarkEnd w:id="209"/>
      <w:bookmarkEnd w:id="210"/>
      <w:bookmarkEnd w:id="211"/>
      <w:bookmarkStart w:id="230" w:name="_Toc186493289"/>
      <w:bookmarkStart w:id="231" w:name="_Toc120614284"/>
      <w:r>
        <w:rPr>
          <w:rFonts w:hint="eastAsia" w:ascii="宋体" w:hAnsi="宋体" w:eastAsia="宋体" w:cs="宋体"/>
          <w:b/>
          <w:color w:val="auto"/>
          <w:sz w:val="24"/>
          <w:szCs w:val="24"/>
          <w:highlight w:val="none"/>
        </w:rPr>
        <w:t>附件</w:t>
      </w:r>
      <w:bookmarkEnd w:id="230"/>
      <w:r>
        <w:rPr>
          <w:rFonts w:hint="eastAsia" w:ascii="宋体" w:hAnsi="宋体" w:eastAsia="宋体" w:cs="宋体"/>
          <w:b/>
          <w:color w:val="auto"/>
          <w:sz w:val="24"/>
          <w:szCs w:val="24"/>
          <w:highlight w:val="none"/>
          <w:lang w:val="en-US" w:eastAsia="zh-CN"/>
        </w:rPr>
        <w:t>9</w:t>
      </w:r>
    </w:p>
    <w:p w14:paraId="5A5D2920">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技术要求响应及偏离表</w:t>
      </w:r>
    </w:p>
    <w:p w14:paraId="7242CFFA">
      <w:pPr>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1B2AF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B9DD6F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3B6C04C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38DBDE46">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1FBF5497">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53DECF7D">
            <w:pPr>
              <w:spacing w:line="340" w:lineRule="exact"/>
              <w:jc w:val="center"/>
              <w:rPr>
                <w:rFonts w:hint="eastAsia" w:ascii="宋体" w:hAnsi="宋体" w:eastAsia="宋体" w:cs="宋体"/>
                <w:color w:val="auto"/>
                <w:sz w:val="24"/>
                <w:szCs w:val="24"/>
                <w:highlight w:val="none"/>
              </w:rPr>
            </w:pPr>
          </w:p>
          <w:p w14:paraId="0A0C61E4">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E6C1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4521500F">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98BC298">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004840F">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EB84030">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021AE1D">
            <w:pPr>
              <w:spacing w:line="340" w:lineRule="exact"/>
              <w:jc w:val="left"/>
              <w:rPr>
                <w:rFonts w:hint="eastAsia" w:ascii="宋体" w:hAnsi="宋体" w:eastAsia="宋体" w:cs="宋体"/>
                <w:color w:val="auto"/>
                <w:sz w:val="24"/>
                <w:szCs w:val="24"/>
                <w:highlight w:val="none"/>
              </w:rPr>
            </w:pPr>
          </w:p>
        </w:tc>
      </w:tr>
      <w:tr w14:paraId="33DD2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2D2F183A">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7DEDA33">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7B02B698">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55B8CEF">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841430C">
            <w:pPr>
              <w:spacing w:line="340" w:lineRule="exact"/>
              <w:jc w:val="left"/>
              <w:rPr>
                <w:rFonts w:hint="eastAsia" w:ascii="宋体" w:hAnsi="宋体" w:eastAsia="宋体" w:cs="宋体"/>
                <w:color w:val="auto"/>
                <w:sz w:val="24"/>
                <w:szCs w:val="24"/>
                <w:highlight w:val="none"/>
              </w:rPr>
            </w:pPr>
          </w:p>
        </w:tc>
      </w:tr>
      <w:tr w14:paraId="53E1E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41930BB9">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7158935">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4AE1ED0">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7020DF2">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5173D542">
            <w:pPr>
              <w:spacing w:line="340" w:lineRule="exact"/>
              <w:jc w:val="left"/>
              <w:rPr>
                <w:rFonts w:hint="eastAsia" w:ascii="宋体" w:hAnsi="宋体" w:eastAsia="宋体" w:cs="宋体"/>
                <w:color w:val="auto"/>
                <w:sz w:val="24"/>
                <w:szCs w:val="24"/>
                <w:highlight w:val="none"/>
              </w:rPr>
            </w:pPr>
          </w:p>
        </w:tc>
      </w:tr>
      <w:tr w14:paraId="20B21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65BEF99E">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EA5F9D2">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E0DCEB9">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311F603">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F8D10BB">
            <w:pPr>
              <w:spacing w:line="340" w:lineRule="exact"/>
              <w:jc w:val="left"/>
              <w:rPr>
                <w:rFonts w:hint="eastAsia" w:ascii="宋体" w:hAnsi="宋体" w:eastAsia="宋体" w:cs="宋体"/>
                <w:color w:val="auto"/>
                <w:sz w:val="24"/>
                <w:szCs w:val="24"/>
                <w:highlight w:val="none"/>
              </w:rPr>
            </w:pPr>
          </w:p>
        </w:tc>
      </w:tr>
      <w:tr w14:paraId="34F79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val="0"/>
            <w:vAlign w:val="center"/>
          </w:tcPr>
          <w:p w14:paraId="10C64BA4">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0EB25454">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A0A8864">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1C7B3FC">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2CD7AE59">
            <w:pPr>
              <w:spacing w:line="340" w:lineRule="exact"/>
              <w:jc w:val="left"/>
              <w:rPr>
                <w:rFonts w:hint="eastAsia" w:ascii="宋体" w:hAnsi="宋体" w:eastAsia="宋体" w:cs="宋体"/>
                <w:color w:val="auto"/>
                <w:sz w:val="24"/>
                <w:szCs w:val="24"/>
                <w:highlight w:val="none"/>
              </w:rPr>
            </w:pPr>
          </w:p>
        </w:tc>
      </w:tr>
    </w:tbl>
    <w:p w14:paraId="5E840C36">
      <w:pPr>
        <w:spacing w:line="400" w:lineRule="exact"/>
        <w:rPr>
          <w:rFonts w:hint="eastAsia" w:ascii="宋体" w:hAnsi="宋体" w:eastAsia="宋体" w:cs="宋体"/>
          <w:color w:val="auto"/>
          <w:sz w:val="24"/>
          <w:szCs w:val="24"/>
          <w:highlight w:val="none"/>
        </w:rPr>
      </w:pPr>
    </w:p>
    <w:p w14:paraId="66158D3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FD10F5F">
      <w:pPr>
        <w:numPr>
          <w:ilvl w:val="0"/>
          <w:numId w:val="4"/>
        </w:numPr>
        <w:spacing w:line="300" w:lineRule="auto"/>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投标人提交的投标文件中与招标文件第四章“采购需求”中的技术要求如有偏离的，应逐条填列在偏离表中。</w:t>
      </w:r>
    </w:p>
    <w:p w14:paraId="1DF74E39">
      <w:pPr>
        <w:spacing w:line="30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2.“偏离说明”一栏选择“正偏离”、“无偏离”、“负偏离”进行填写。未填写的内容视为完全响应本招标文件要求。正偏离、无偏离的确认和负偏离是否响应招标文件，由评委会认定。</w:t>
      </w:r>
    </w:p>
    <w:p w14:paraId="729DB37B">
      <w:pPr>
        <w:pStyle w:val="35"/>
        <w:rPr>
          <w:rFonts w:hint="eastAsia" w:ascii="宋体" w:hAnsi="宋体" w:eastAsia="宋体" w:cs="宋体"/>
          <w:color w:val="auto"/>
          <w:highlight w:val="none"/>
        </w:rPr>
      </w:pPr>
    </w:p>
    <w:p w14:paraId="68963652">
      <w:pPr>
        <w:spacing w:line="588" w:lineRule="exact"/>
        <w:rPr>
          <w:rFonts w:hint="eastAsia" w:ascii="宋体" w:hAnsi="宋体" w:eastAsia="宋体" w:cs="宋体"/>
          <w:color w:val="auto"/>
          <w:spacing w:val="6"/>
          <w:sz w:val="30"/>
          <w:szCs w:val="30"/>
          <w:highlight w:val="none"/>
        </w:rPr>
      </w:pPr>
    </w:p>
    <w:p w14:paraId="5E316A1B">
      <w:pPr>
        <w:tabs>
          <w:tab w:val="left" w:pos="4860"/>
        </w:tabs>
        <w:spacing w:line="0" w:lineRule="atLeast"/>
        <w:ind w:right="1559" w:firstLine="62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供应商全称（加盖CA电子公章）：</w:t>
      </w:r>
    </w:p>
    <w:p w14:paraId="08169292">
      <w:pPr>
        <w:tabs>
          <w:tab w:val="left" w:pos="4860"/>
        </w:tabs>
        <w:spacing w:line="0" w:lineRule="atLeast"/>
        <w:ind w:right="1559" w:firstLine="480"/>
        <w:jc w:val="center"/>
        <w:rPr>
          <w:rFonts w:hint="eastAsia" w:ascii="宋体" w:hAnsi="宋体" w:eastAsia="宋体" w:cs="宋体"/>
          <w:color w:val="auto"/>
          <w:sz w:val="24"/>
          <w:highlight w:val="none"/>
        </w:rPr>
      </w:pPr>
    </w:p>
    <w:p w14:paraId="2FBB111A">
      <w:pPr>
        <w:tabs>
          <w:tab w:val="left" w:pos="4860"/>
        </w:tabs>
        <w:spacing w:line="0" w:lineRule="atLeast"/>
        <w:ind w:right="1559"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788A9C8E">
      <w:pPr>
        <w:spacing w:line="400" w:lineRule="exact"/>
        <w:rPr>
          <w:rFonts w:hint="eastAsia" w:ascii="宋体" w:hAnsi="宋体" w:eastAsia="宋体" w:cs="宋体"/>
          <w:color w:val="auto"/>
          <w:sz w:val="24"/>
          <w:szCs w:val="24"/>
          <w:highlight w:val="none"/>
        </w:rPr>
      </w:pPr>
    </w:p>
    <w:p w14:paraId="348E48BA">
      <w:pPr>
        <w:outlineLvl w:val="0"/>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br w:type="page" w:clear="all"/>
      </w:r>
      <w:bookmarkStart w:id="232" w:name="_Toc186493290"/>
      <w:r>
        <w:rPr>
          <w:rFonts w:hint="eastAsia" w:ascii="宋体" w:hAnsi="宋体" w:eastAsia="宋体" w:cs="宋体"/>
          <w:b/>
          <w:color w:val="auto"/>
          <w:sz w:val="24"/>
          <w:szCs w:val="24"/>
          <w:highlight w:val="none"/>
        </w:rPr>
        <w:t>附件</w:t>
      </w:r>
      <w:bookmarkEnd w:id="232"/>
      <w:r>
        <w:rPr>
          <w:rFonts w:hint="eastAsia" w:ascii="宋体" w:hAnsi="宋体" w:eastAsia="宋体" w:cs="宋体"/>
          <w:b/>
          <w:color w:val="auto"/>
          <w:sz w:val="24"/>
          <w:szCs w:val="24"/>
          <w:highlight w:val="none"/>
          <w:lang w:val="en-US" w:eastAsia="zh-CN"/>
        </w:rPr>
        <w:t>10</w:t>
      </w:r>
    </w:p>
    <w:p w14:paraId="491043C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商务要求响应及偏离表</w:t>
      </w:r>
    </w:p>
    <w:p w14:paraId="674A000A">
      <w:pPr>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（由投标人据实填写，表格不够自行添加）</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85"/>
        <w:gridCol w:w="2415"/>
        <w:gridCol w:w="2109"/>
        <w:gridCol w:w="2721"/>
        <w:gridCol w:w="1498"/>
      </w:tblGrid>
      <w:tr w14:paraId="6CB1B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6DC77350">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1772FE0B">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19E2EF40">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400F058D">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2B3E283B">
            <w:pPr>
              <w:spacing w:line="340" w:lineRule="exact"/>
              <w:jc w:val="center"/>
              <w:rPr>
                <w:rFonts w:hint="eastAsia" w:ascii="宋体" w:hAnsi="宋体" w:eastAsia="宋体" w:cs="宋体"/>
                <w:color w:val="auto"/>
                <w:sz w:val="24"/>
                <w:szCs w:val="24"/>
                <w:highlight w:val="none"/>
              </w:rPr>
            </w:pPr>
          </w:p>
          <w:p w14:paraId="2F1875AC">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DD67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460" w:type="pct"/>
            <w:tcBorders>
              <w:top w:val="single" w:color="auto" w:sz="6" w:space="0"/>
              <w:left w:val="single" w:color="auto" w:sz="12" w:space="0"/>
              <w:bottom w:val="single" w:color="auto" w:sz="6" w:space="0"/>
              <w:right w:val="single" w:color="auto" w:sz="6" w:space="0"/>
            </w:tcBorders>
            <w:noWrap w:val="0"/>
          </w:tcPr>
          <w:p w14:paraId="65A17B22">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03EAA79">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19D5C51">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8A3501C">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63D2AFB9">
            <w:pPr>
              <w:spacing w:line="340" w:lineRule="exact"/>
              <w:jc w:val="left"/>
              <w:rPr>
                <w:rFonts w:hint="eastAsia" w:ascii="宋体" w:hAnsi="宋体" w:eastAsia="宋体" w:cs="宋体"/>
                <w:color w:val="auto"/>
                <w:sz w:val="24"/>
                <w:szCs w:val="24"/>
                <w:highlight w:val="none"/>
              </w:rPr>
            </w:pPr>
          </w:p>
        </w:tc>
      </w:tr>
      <w:tr w14:paraId="4166E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04C2D211">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630675C1">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C5707AD">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E13A645">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31A669F3">
            <w:pPr>
              <w:spacing w:line="340" w:lineRule="exact"/>
              <w:jc w:val="left"/>
              <w:rPr>
                <w:rFonts w:hint="eastAsia" w:ascii="宋体" w:hAnsi="宋体" w:eastAsia="宋体" w:cs="宋体"/>
                <w:color w:val="auto"/>
                <w:sz w:val="24"/>
                <w:szCs w:val="24"/>
                <w:highlight w:val="none"/>
              </w:rPr>
            </w:pPr>
          </w:p>
        </w:tc>
      </w:tr>
      <w:tr w14:paraId="50ECD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45AB7D27">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E0E93CF">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9727A9D">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E3E473D">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639643B0">
            <w:pPr>
              <w:spacing w:line="340" w:lineRule="exact"/>
              <w:jc w:val="left"/>
              <w:rPr>
                <w:rFonts w:hint="eastAsia" w:ascii="宋体" w:hAnsi="宋体" w:eastAsia="宋体" w:cs="宋体"/>
                <w:color w:val="auto"/>
                <w:sz w:val="24"/>
                <w:szCs w:val="24"/>
                <w:highlight w:val="none"/>
              </w:rPr>
            </w:pPr>
          </w:p>
        </w:tc>
      </w:tr>
      <w:tr w14:paraId="50926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205B5702">
            <w:pPr>
              <w:spacing w:line="3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8240612">
            <w:pPr>
              <w:spacing w:line="340" w:lineRule="exact"/>
              <w:jc w:val="left"/>
              <w:rPr>
                <w:rFonts w:hint="eastAsia" w:ascii="宋体" w:hAnsi="宋体" w:eastAsia="宋体" w:cs="宋体"/>
                <w:color w:val="auto"/>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FE06C1E">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4EBBEEC3">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1D4B65C5">
            <w:pPr>
              <w:spacing w:line="340" w:lineRule="exact"/>
              <w:jc w:val="left"/>
              <w:rPr>
                <w:rFonts w:hint="eastAsia" w:ascii="宋体" w:hAnsi="宋体" w:eastAsia="宋体" w:cs="宋体"/>
                <w:color w:val="auto"/>
                <w:sz w:val="24"/>
                <w:szCs w:val="24"/>
                <w:highlight w:val="none"/>
              </w:rPr>
            </w:pPr>
          </w:p>
        </w:tc>
      </w:tr>
      <w:tr w14:paraId="5BDE0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val="0"/>
            <w:vAlign w:val="center"/>
          </w:tcPr>
          <w:p w14:paraId="0874A123">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1B53256D">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D95D888">
            <w:pPr>
              <w:spacing w:line="340" w:lineRule="exact"/>
              <w:jc w:val="left"/>
              <w:rPr>
                <w:rFonts w:hint="eastAsia" w:ascii="宋体" w:hAnsi="宋体" w:eastAsia="宋体" w:cs="宋体"/>
                <w:color w:val="auto"/>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1B0C74A">
            <w:pPr>
              <w:spacing w:line="340" w:lineRule="exact"/>
              <w:jc w:val="left"/>
              <w:rPr>
                <w:rFonts w:hint="eastAsia" w:ascii="宋体" w:hAnsi="宋体" w:eastAsia="宋体" w:cs="宋体"/>
                <w:color w:val="auto"/>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tcPr>
          <w:p w14:paraId="0FE07A22">
            <w:pPr>
              <w:spacing w:line="340" w:lineRule="exact"/>
              <w:jc w:val="left"/>
              <w:rPr>
                <w:rFonts w:hint="eastAsia" w:ascii="宋体" w:hAnsi="宋体" w:eastAsia="宋体" w:cs="宋体"/>
                <w:color w:val="auto"/>
                <w:sz w:val="24"/>
                <w:szCs w:val="24"/>
                <w:highlight w:val="none"/>
              </w:rPr>
            </w:pPr>
          </w:p>
        </w:tc>
      </w:tr>
    </w:tbl>
    <w:p w14:paraId="630D0A47">
      <w:pPr>
        <w:spacing w:line="400" w:lineRule="exact"/>
        <w:rPr>
          <w:rFonts w:hint="eastAsia" w:ascii="宋体" w:hAnsi="宋体" w:eastAsia="宋体" w:cs="宋体"/>
          <w:color w:val="auto"/>
          <w:sz w:val="24"/>
          <w:szCs w:val="24"/>
          <w:highlight w:val="none"/>
        </w:rPr>
      </w:pPr>
    </w:p>
    <w:p w14:paraId="27DF06C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6AC9887">
      <w:pPr>
        <w:numPr>
          <w:ilvl w:val="0"/>
          <w:numId w:val="5"/>
        </w:num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投标人提交的投标文件中与招标文件第四章“采购需求”中的商务要求如有偏离的，应逐条填列在偏离表中。 </w:t>
      </w:r>
    </w:p>
    <w:p w14:paraId="6024F08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2.“偏离说明”一栏选择“正偏离”、“无偏离”、“负偏离”进行填写。未填写的内容视为完全响应本招标文件要求。正偏离、无偏离的确认和负偏离是否响应招标文件，由评委会认定。</w:t>
      </w:r>
    </w:p>
    <w:p w14:paraId="7B8CDB58">
      <w:pPr>
        <w:spacing w:line="400" w:lineRule="exact"/>
        <w:rPr>
          <w:rFonts w:hint="eastAsia" w:ascii="宋体" w:hAnsi="宋体" w:eastAsia="宋体" w:cs="宋体"/>
          <w:color w:val="auto"/>
          <w:sz w:val="24"/>
          <w:szCs w:val="24"/>
          <w:highlight w:val="none"/>
        </w:rPr>
      </w:pPr>
    </w:p>
    <w:p w14:paraId="640A126B">
      <w:pPr>
        <w:rPr>
          <w:rFonts w:hint="eastAsia" w:ascii="宋体" w:hAnsi="宋体" w:eastAsia="宋体" w:cs="宋体"/>
          <w:color w:val="auto"/>
          <w:highlight w:val="none"/>
        </w:rPr>
      </w:pPr>
    </w:p>
    <w:p w14:paraId="39067398">
      <w:pPr>
        <w:spacing w:line="588" w:lineRule="exact"/>
        <w:ind w:firstLine="624"/>
        <w:rPr>
          <w:rFonts w:hint="eastAsia" w:ascii="宋体" w:hAnsi="宋体" w:eastAsia="宋体" w:cs="宋体"/>
          <w:color w:val="auto"/>
          <w:spacing w:val="6"/>
          <w:sz w:val="30"/>
          <w:szCs w:val="30"/>
          <w:highlight w:val="none"/>
        </w:rPr>
      </w:pPr>
    </w:p>
    <w:p w14:paraId="7891AE16">
      <w:pPr>
        <w:tabs>
          <w:tab w:val="left" w:pos="4860"/>
        </w:tabs>
        <w:spacing w:line="0" w:lineRule="atLeast"/>
        <w:ind w:right="1559" w:firstLine="62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供应商全称（加盖CA电子公章）：</w:t>
      </w:r>
    </w:p>
    <w:p w14:paraId="51D1C808">
      <w:pPr>
        <w:tabs>
          <w:tab w:val="left" w:pos="4860"/>
        </w:tabs>
        <w:spacing w:line="0" w:lineRule="atLeast"/>
        <w:ind w:right="1559" w:firstLine="480"/>
        <w:jc w:val="center"/>
        <w:rPr>
          <w:rFonts w:hint="eastAsia" w:ascii="宋体" w:hAnsi="宋体" w:eastAsia="宋体" w:cs="宋体"/>
          <w:color w:val="auto"/>
          <w:sz w:val="24"/>
          <w:highlight w:val="none"/>
        </w:rPr>
      </w:pPr>
    </w:p>
    <w:p w14:paraId="5123BB03">
      <w:pPr>
        <w:tabs>
          <w:tab w:val="left" w:pos="4860"/>
        </w:tabs>
        <w:spacing w:line="0" w:lineRule="atLeast"/>
        <w:ind w:right="1559"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403CEF0E">
      <w:pPr>
        <w:rPr>
          <w:rFonts w:hint="eastAsia" w:ascii="宋体" w:hAnsi="宋体" w:eastAsia="宋体" w:cs="宋体"/>
          <w:color w:val="auto"/>
          <w:highlight w:val="none"/>
        </w:rPr>
      </w:pPr>
    </w:p>
    <w:p w14:paraId="1B3F0CA3">
      <w:pPr>
        <w:rPr>
          <w:rFonts w:hint="eastAsia" w:ascii="宋体" w:hAnsi="宋体" w:eastAsia="宋体" w:cs="宋体"/>
          <w:color w:val="auto"/>
          <w:highlight w:val="none"/>
        </w:rPr>
      </w:pPr>
    </w:p>
    <w:p w14:paraId="5085B5BE">
      <w:pPr>
        <w:jc w:val="center"/>
        <w:rPr>
          <w:rFonts w:hint="eastAsia" w:ascii="宋体" w:hAnsi="宋体" w:eastAsia="宋体" w:cs="宋体"/>
          <w:b/>
          <w:color w:val="auto"/>
          <w:sz w:val="24"/>
          <w:szCs w:val="24"/>
          <w:highlight w:val="none"/>
        </w:rPr>
      </w:pPr>
    </w:p>
    <w:p w14:paraId="049E0595">
      <w:pPr>
        <w:jc w:val="left"/>
        <w:rPr>
          <w:rFonts w:hint="eastAsia" w:ascii="宋体" w:hAnsi="宋体" w:eastAsia="宋体" w:cs="宋体"/>
          <w:b/>
          <w:color w:val="auto"/>
          <w:sz w:val="32"/>
          <w:szCs w:val="32"/>
          <w:highlight w:val="none"/>
        </w:rPr>
      </w:pPr>
    </w:p>
    <w:p w14:paraId="57FEE57D">
      <w:pPr>
        <w:rPr>
          <w:rFonts w:hint="eastAsia" w:ascii="宋体" w:hAnsi="宋体" w:eastAsia="宋体" w:cs="宋体"/>
          <w:b/>
          <w:color w:val="auto"/>
          <w:sz w:val="24"/>
          <w:szCs w:val="24"/>
          <w:highlight w:val="none"/>
        </w:rPr>
      </w:pPr>
    </w:p>
    <w:p w14:paraId="266DF921">
      <w:pPr>
        <w:rPr>
          <w:rFonts w:hint="eastAsia" w:ascii="宋体" w:hAnsi="宋体" w:eastAsia="宋体" w:cs="宋体"/>
          <w:b/>
          <w:color w:val="auto"/>
          <w:sz w:val="24"/>
          <w:szCs w:val="24"/>
          <w:highlight w:val="none"/>
        </w:rPr>
      </w:pPr>
    </w:p>
    <w:p w14:paraId="47E9BBF5">
      <w:pPr>
        <w:rPr>
          <w:rFonts w:hint="eastAsia" w:ascii="宋体" w:hAnsi="宋体" w:eastAsia="宋体" w:cs="宋体"/>
          <w:b/>
          <w:color w:val="auto"/>
          <w:sz w:val="24"/>
          <w:szCs w:val="24"/>
          <w:highlight w:val="none"/>
        </w:rPr>
      </w:pPr>
    </w:p>
    <w:p w14:paraId="6FABDED4">
      <w:pPr>
        <w:pStyle w:val="14"/>
        <w:rPr>
          <w:rFonts w:hint="eastAsia" w:ascii="宋体" w:hAnsi="宋体" w:eastAsia="宋体" w:cs="宋体"/>
          <w:b/>
          <w:color w:val="auto"/>
          <w:sz w:val="24"/>
          <w:szCs w:val="24"/>
          <w:highlight w:val="none"/>
        </w:rPr>
      </w:pPr>
    </w:p>
    <w:p w14:paraId="7E72F3E7">
      <w:pPr>
        <w:outlineLvl w:val="0"/>
        <w:rPr>
          <w:rFonts w:hint="eastAsia" w:ascii="宋体" w:hAnsi="宋体" w:eastAsia="宋体" w:cs="宋体"/>
          <w:b/>
          <w:color w:val="auto"/>
          <w:sz w:val="24"/>
          <w:szCs w:val="24"/>
          <w:highlight w:val="none"/>
        </w:rPr>
      </w:pPr>
      <w:bookmarkStart w:id="233" w:name="_Toc186493291"/>
      <w:r>
        <w:rPr>
          <w:rFonts w:hint="eastAsia" w:ascii="宋体" w:hAnsi="宋体" w:eastAsia="宋体" w:cs="宋体"/>
          <w:b/>
          <w:color w:val="auto"/>
          <w:sz w:val="24"/>
          <w:szCs w:val="24"/>
          <w:highlight w:val="none"/>
        </w:rPr>
        <w:t>附件1</w:t>
      </w:r>
      <w:bookmarkEnd w:id="233"/>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 xml:space="preserve">      </w:t>
      </w:r>
    </w:p>
    <w:p w14:paraId="7DCE327A">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实质性要求响应及偏离表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047"/>
        <w:gridCol w:w="1796"/>
      </w:tblGrid>
      <w:tr w14:paraId="3FB0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0"/>
            <w:vAlign w:val="center"/>
          </w:tcPr>
          <w:p w14:paraId="75D0DEA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09" w:type="dxa"/>
            <w:noWrap w:val="0"/>
            <w:vAlign w:val="center"/>
          </w:tcPr>
          <w:p w14:paraId="517FB45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招标文件技术要求和商务要求中的实质性要求</w:t>
            </w:r>
            <w:r>
              <w:rPr>
                <w:rFonts w:hint="eastAsia" w:ascii="宋体" w:hAnsi="宋体" w:eastAsia="宋体" w:cs="宋体"/>
                <w:i/>
                <w:color w:val="auto"/>
                <w:sz w:val="24"/>
                <w:szCs w:val="24"/>
                <w:highlight w:val="none"/>
                <w:u w:val="single"/>
              </w:rPr>
              <w:t>（加斜体下划线内容）</w:t>
            </w:r>
          </w:p>
        </w:tc>
        <w:tc>
          <w:tcPr>
            <w:tcW w:w="3047" w:type="dxa"/>
            <w:noWrap w:val="0"/>
            <w:vAlign w:val="center"/>
          </w:tcPr>
          <w:p w14:paraId="23B5435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1796" w:type="dxa"/>
            <w:noWrap w:val="0"/>
            <w:vAlign w:val="center"/>
          </w:tcPr>
          <w:p w14:paraId="0B28FA7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正偏离、无偏离、负偏离</w:t>
            </w:r>
          </w:p>
        </w:tc>
      </w:tr>
      <w:tr w14:paraId="43E6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tcPr>
          <w:p w14:paraId="58D0B66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09" w:type="dxa"/>
            <w:noWrap w:val="0"/>
          </w:tcPr>
          <w:p w14:paraId="172C2FD8">
            <w:pPr>
              <w:spacing w:line="400" w:lineRule="exact"/>
              <w:jc w:val="center"/>
              <w:rPr>
                <w:rFonts w:hint="eastAsia" w:ascii="宋体" w:hAnsi="宋体" w:eastAsia="宋体" w:cs="宋体"/>
                <w:color w:val="auto"/>
                <w:sz w:val="24"/>
                <w:szCs w:val="24"/>
                <w:highlight w:val="none"/>
              </w:rPr>
            </w:pPr>
          </w:p>
        </w:tc>
        <w:tc>
          <w:tcPr>
            <w:tcW w:w="3047" w:type="dxa"/>
            <w:noWrap w:val="0"/>
          </w:tcPr>
          <w:p w14:paraId="4F1D0226">
            <w:pPr>
              <w:spacing w:line="400" w:lineRule="exact"/>
              <w:jc w:val="center"/>
              <w:rPr>
                <w:rFonts w:hint="eastAsia" w:ascii="宋体" w:hAnsi="宋体" w:eastAsia="宋体" w:cs="宋体"/>
                <w:color w:val="auto"/>
                <w:sz w:val="24"/>
                <w:szCs w:val="24"/>
                <w:highlight w:val="none"/>
              </w:rPr>
            </w:pPr>
          </w:p>
        </w:tc>
        <w:tc>
          <w:tcPr>
            <w:tcW w:w="1796" w:type="dxa"/>
            <w:noWrap w:val="0"/>
          </w:tcPr>
          <w:p w14:paraId="5102DD21">
            <w:pPr>
              <w:spacing w:line="400" w:lineRule="exact"/>
              <w:jc w:val="center"/>
              <w:rPr>
                <w:rFonts w:hint="eastAsia" w:ascii="宋体" w:hAnsi="宋体" w:eastAsia="宋体" w:cs="宋体"/>
                <w:color w:val="auto"/>
                <w:sz w:val="24"/>
                <w:szCs w:val="24"/>
                <w:highlight w:val="none"/>
              </w:rPr>
            </w:pPr>
          </w:p>
        </w:tc>
      </w:tr>
      <w:tr w14:paraId="0C20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tcPr>
          <w:p w14:paraId="102C429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09" w:type="dxa"/>
            <w:noWrap w:val="0"/>
          </w:tcPr>
          <w:p w14:paraId="377F7290">
            <w:pPr>
              <w:spacing w:line="400" w:lineRule="exact"/>
              <w:jc w:val="center"/>
              <w:rPr>
                <w:rFonts w:hint="eastAsia" w:ascii="宋体" w:hAnsi="宋体" w:eastAsia="宋体" w:cs="宋体"/>
                <w:color w:val="auto"/>
                <w:sz w:val="24"/>
                <w:szCs w:val="24"/>
                <w:highlight w:val="none"/>
              </w:rPr>
            </w:pPr>
          </w:p>
        </w:tc>
        <w:tc>
          <w:tcPr>
            <w:tcW w:w="3047" w:type="dxa"/>
            <w:noWrap w:val="0"/>
          </w:tcPr>
          <w:p w14:paraId="1DD5B40D">
            <w:pPr>
              <w:spacing w:line="400" w:lineRule="exact"/>
              <w:jc w:val="center"/>
              <w:rPr>
                <w:rFonts w:hint="eastAsia" w:ascii="宋体" w:hAnsi="宋体" w:eastAsia="宋体" w:cs="宋体"/>
                <w:color w:val="auto"/>
                <w:sz w:val="24"/>
                <w:szCs w:val="24"/>
                <w:highlight w:val="none"/>
              </w:rPr>
            </w:pPr>
          </w:p>
        </w:tc>
        <w:tc>
          <w:tcPr>
            <w:tcW w:w="1796" w:type="dxa"/>
            <w:noWrap w:val="0"/>
          </w:tcPr>
          <w:p w14:paraId="5B42B6E3">
            <w:pPr>
              <w:spacing w:line="400" w:lineRule="exact"/>
              <w:jc w:val="center"/>
              <w:rPr>
                <w:rFonts w:hint="eastAsia" w:ascii="宋体" w:hAnsi="宋体" w:eastAsia="宋体" w:cs="宋体"/>
                <w:color w:val="auto"/>
                <w:sz w:val="24"/>
                <w:szCs w:val="24"/>
                <w:highlight w:val="none"/>
              </w:rPr>
            </w:pPr>
          </w:p>
        </w:tc>
      </w:tr>
      <w:tr w14:paraId="356B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val="0"/>
            <w:vAlign w:val="center"/>
          </w:tcPr>
          <w:p w14:paraId="108BCAE3">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609" w:type="dxa"/>
            <w:noWrap w:val="0"/>
            <w:vAlign w:val="center"/>
          </w:tcPr>
          <w:p w14:paraId="772A5C96">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047" w:type="dxa"/>
            <w:noWrap w:val="0"/>
          </w:tcPr>
          <w:p w14:paraId="6A60DB78">
            <w:pPr>
              <w:spacing w:line="400" w:lineRule="exact"/>
              <w:jc w:val="center"/>
              <w:rPr>
                <w:rFonts w:hint="eastAsia" w:ascii="宋体" w:hAnsi="宋体" w:eastAsia="宋体" w:cs="宋体"/>
                <w:color w:val="auto"/>
                <w:sz w:val="24"/>
                <w:szCs w:val="24"/>
                <w:highlight w:val="none"/>
              </w:rPr>
            </w:pPr>
          </w:p>
        </w:tc>
        <w:tc>
          <w:tcPr>
            <w:tcW w:w="1796" w:type="dxa"/>
            <w:noWrap w:val="0"/>
          </w:tcPr>
          <w:p w14:paraId="7FF93EE6">
            <w:pPr>
              <w:spacing w:line="400" w:lineRule="exact"/>
              <w:jc w:val="center"/>
              <w:rPr>
                <w:rFonts w:hint="eastAsia" w:ascii="宋体" w:hAnsi="宋体" w:eastAsia="宋体" w:cs="宋体"/>
                <w:color w:val="auto"/>
                <w:sz w:val="24"/>
                <w:szCs w:val="24"/>
                <w:highlight w:val="none"/>
              </w:rPr>
            </w:pPr>
          </w:p>
        </w:tc>
      </w:tr>
    </w:tbl>
    <w:p w14:paraId="5CBD532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附件12-1 证明材料1，证明材料2，……</w:t>
      </w:r>
    </w:p>
    <w:p w14:paraId="6944DB6B">
      <w:pPr>
        <w:pStyle w:val="35"/>
        <w:rPr>
          <w:rFonts w:hint="eastAsia" w:ascii="宋体" w:hAnsi="宋体" w:eastAsia="宋体" w:cs="宋体"/>
          <w:color w:val="auto"/>
          <w:highlight w:val="none"/>
        </w:rPr>
      </w:pPr>
    </w:p>
    <w:p w14:paraId="2AAB4267">
      <w:pPr>
        <w:spacing w:line="400" w:lineRule="exact"/>
        <w:rPr>
          <w:rFonts w:hint="eastAsia" w:ascii="宋体" w:hAnsi="宋体" w:eastAsia="宋体" w:cs="宋体"/>
          <w:color w:val="auto"/>
          <w:sz w:val="24"/>
          <w:szCs w:val="24"/>
          <w:highlight w:val="none"/>
        </w:rPr>
      </w:pPr>
    </w:p>
    <w:p w14:paraId="354FC0E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3175CF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1.供应商必须对技术要求和商务要求中的实质性要求（加斜体下划线内容）做出明确响应，未填写的内容视为完全响应本采购文件实质性要求。</w:t>
      </w:r>
    </w:p>
    <w:p w14:paraId="46F21ED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2.如果采购文件要求提供证明材料，供应商必须将证明材料列于该表之下，否则作无效响应处理。</w:t>
      </w:r>
    </w:p>
    <w:p w14:paraId="6A0862BF">
      <w:pPr>
        <w:spacing w:line="400" w:lineRule="exact"/>
        <w:rPr>
          <w:rFonts w:hint="eastAsia" w:ascii="宋体" w:hAnsi="宋体" w:eastAsia="宋体" w:cs="宋体"/>
          <w:color w:val="auto"/>
          <w:sz w:val="24"/>
          <w:szCs w:val="24"/>
          <w:highlight w:val="none"/>
        </w:rPr>
      </w:pPr>
    </w:p>
    <w:p w14:paraId="5B152D57">
      <w:pPr>
        <w:spacing w:line="588" w:lineRule="exact"/>
        <w:ind w:firstLine="624"/>
        <w:rPr>
          <w:rFonts w:hint="eastAsia" w:ascii="宋体" w:hAnsi="宋体" w:eastAsia="宋体" w:cs="宋体"/>
          <w:color w:val="auto"/>
          <w:spacing w:val="6"/>
          <w:sz w:val="30"/>
          <w:szCs w:val="30"/>
          <w:highlight w:val="none"/>
        </w:rPr>
      </w:pPr>
    </w:p>
    <w:p w14:paraId="6F076B76">
      <w:pPr>
        <w:tabs>
          <w:tab w:val="left" w:pos="4860"/>
        </w:tabs>
        <w:spacing w:line="0" w:lineRule="atLeast"/>
        <w:ind w:right="1559" w:firstLine="62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供应商全称（加盖CA电子公章）：</w:t>
      </w:r>
    </w:p>
    <w:p w14:paraId="01CB366B">
      <w:pPr>
        <w:tabs>
          <w:tab w:val="left" w:pos="4860"/>
        </w:tabs>
        <w:spacing w:line="0" w:lineRule="atLeast"/>
        <w:ind w:right="1559" w:firstLine="480"/>
        <w:jc w:val="center"/>
        <w:rPr>
          <w:rFonts w:hint="eastAsia" w:ascii="宋体" w:hAnsi="宋体" w:eastAsia="宋体" w:cs="宋体"/>
          <w:color w:val="auto"/>
          <w:sz w:val="24"/>
          <w:highlight w:val="none"/>
        </w:rPr>
      </w:pPr>
    </w:p>
    <w:p w14:paraId="52D33742">
      <w:pPr>
        <w:tabs>
          <w:tab w:val="left" w:pos="4860"/>
        </w:tabs>
        <w:spacing w:line="0" w:lineRule="atLeast"/>
        <w:ind w:right="1559" w:firstLine="4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39003779">
      <w:pPr>
        <w:jc w:val="center"/>
        <w:rPr>
          <w:rFonts w:hint="eastAsia" w:ascii="宋体" w:hAnsi="宋体" w:eastAsia="宋体" w:cs="宋体"/>
          <w:b/>
          <w:color w:val="auto"/>
          <w:sz w:val="32"/>
          <w:szCs w:val="32"/>
          <w:highlight w:val="none"/>
        </w:rPr>
      </w:pPr>
    </w:p>
    <w:p w14:paraId="7C541AD2">
      <w:pPr>
        <w:spacing w:line="560" w:lineRule="exact"/>
        <w:jc w:val="left"/>
        <w:rPr>
          <w:rFonts w:hint="eastAsia" w:ascii="宋体" w:hAnsi="宋体" w:eastAsia="宋体" w:cs="宋体"/>
          <w:b/>
          <w:color w:val="auto"/>
          <w:sz w:val="24"/>
          <w:szCs w:val="24"/>
          <w:highlight w:val="none"/>
        </w:rPr>
      </w:pPr>
    </w:p>
    <w:p w14:paraId="6E17151E">
      <w:pPr>
        <w:pStyle w:val="35"/>
        <w:ind w:firstLine="482"/>
        <w:rPr>
          <w:rFonts w:hint="eastAsia" w:ascii="宋体" w:hAnsi="宋体" w:eastAsia="宋体" w:cs="宋体"/>
          <w:b/>
          <w:color w:val="auto"/>
          <w:sz w:val="24"/>
          <w:szCs w:val="24"/>
          <w:highlight w:val="none"/>
        </w:rPr>
      </w:pPr>
    </w:p>
    <w:p w14:paraId="3C80A9A9">
      <w:pPr>
        <w:rPr>
          <w:rFonts w:hint="eastAsia" w:ascii="宋体" w:hAnsi="宋体" w:eastAsia="宋体" w:cs="宋体"/>
          <w:b/>
          <w:color w:val="auto"/>
          <w:sz w:val="24"/>
          <w:szCs w:val="24"/>
          <w:highlight w:val="none"/>
        </w:rPr>
      </w:pPr>
    </w:p>
    <w:p w14:paraId="700CB7B3">
      <w:pPr>
        <w:pStyle w:val="35"/>
        <w:ind w:firstLine="482"/>
        <w:rPr>
          <w:rFonts w:hint="eastAsia" w:ascii="宋体" w:hAnsi="宋体" w:eastAsia="宋体" w:cs="宋体"/>
          <w:b/>
          <w:color w:val="auto"/>
          <w:sz w:val="24"/>
          <w:szCs w:val="24"/>
          <w:highlight w:val="none"/>
        </w:rPr>
      </w:pPr>
    </w:p>
    <w:p w14:paraId="3C372BD1">
      <w:pPr>
        <w:rPr>
          <w:rFonts w:hint="eastAsia" w:ascii="宋体" w:hAnsi="宋体" w:eastAsia="宋体" w:cs="宋体"/>
          <w:b/>
          <w:color w:val="auto"/>
          <w:sz w:val="24"/>
          <w:szCs w:val="24"/>
          <w:highlight w:val="none"/>
        </w:rPr>
      </w:pPr>
    </w:p>
    <w:p w14:paraId="2B7D8BB6">
      <w:pPr>
        <w:rPr>
          <w:rFonts w:hint="eastAsia" w:ascii="宋体" w:hAnsi="宋体" w:eastAsia="宋体" w:cs="宋体"/>
          <w:color w:val="auto"/>
          <w:highlight w:val="none"/>
        </w:rPr>
      </w:pPr>
    </w:p>
    <w:p w14:paraId="266F9DC9">
      <w:pPr>
        <w:spacing w:line="560" w:lineRule="exact"/>
        <w:rPr>
          <w:rFonts w:hint="eastAsia" w:ascii="宋体" w:hAnsi="宋体" w:eastAsia="宋体" w:cs="宋体"/>
          <w:b/>
          <w:color w:val="auto"/>
          <w:sz w:val="24"/>
          <w:szCs w:val="24"/>
          <w:highlight w:val="none"/>
        </w:rPr>
      </w:pPr>
    </w:p>
    <w:p w14:paraId="0FCD54AB">
      <w:pPr>
        <w:pStyle w:val="231"/>
        <w:rPr>
          <w:rFonts w:hint="eastAsia" w:ascii="宋体" w:hAnsi="宋体" w:eastAsia="宋体" w:cs="宋体"/>
          <w:color w:val="auto"/>
          <w:highlight w:val="none"/>
        </w:rPr>
      </w:pPr>
    </w:p>
    <w:p w14:paraId="46ED477A">
      <w:pPr>
        <w:pStyle w:val="231"/>
        <w:rPr>
          <w:rFonts w:hint="eastAsia" w:ascii="宋体" w:hAnsi="宋体" w:eastAsia="宋体" w:cs="宋体"/>
          <w:color w:val="auto"/>
          <w:highlight w:val="none"/>
          <w:lang w:eastAsia="zh-CN"/>
        </w:rPr>
      </w:pPr>
      <w:r>
        <w:rPr>
          <w:rFonts w:hint="eastAsia" w:ascii="宋体" w:hAnsi="宋体" w:eastAsia="宋体" w:cs="宋体"/>
          <w:color w:val="auto"/>
          <w:highlight w:val="none"/>
        </w:rPr>
        <w:t>附件1</w:t>
      </w:r>
      <w:bookmarkEnd w:id="182"/>
      <w:bookmarkEnd w:id="183"/>
      <w:bookmarkEnd w:id="231"/>
      <w:r>
        <w:rPr>
          <w:rFonts w:hint="eastAsia" w:ascii="宋体" w:hAnsi="宋体" w:eastAsia="宋体" w:cs="宋体"/>
          <w:color w:val="auto"/>
          <w:highlight w:val="none"/>
          <w:lang w:val="en-US" w:eastAsia="zh-CN"/>
        </w:rPr>
        <w:t>2</w:t>
      </w:r>
    </w:p>
    <w:p w14:paraId="41325E04">
      <w:pPr>
        <w:jc w:val="center"/>
        <w:outlineLvl w:val="0"/>
        <w:rPr>
          <w:rFonts w:hint="eastAsia" w:ascii="宋体" w:hAnsi="宋体" w:eastAsia="宋体" w:cs="宋体"/>
          <w:b/>
          <w:bCs/>
          <w:color w:val="auto"/>
          <w:sz w:val="32"/>
          <w:szCs w:val="32"/>
          <w:highlight w:val="none"/>
        </w:rPr>
      </w:pPr>
      <w:bookmarkStart w:id="234" w:name="_Toc186493292"/>
      <w:r>
        <w:rPr>
          <w:rFonts w:hint="eastAsia" w:ascii="宋体" w:hAnsi="宋体" w:eastAsia="宋体" w:cs="宋体"/>
          <w:b/>
          <w:bCs/>
          <w:color w:val="auto"/>
          <w:sz w:val="32"/>
          <w:szCs w:val="32"/>
          <w:highlight w:val="none"/>
        </w:rPr>
        <w:t>质疑函范本</w:t>
      </w:r>
      <w:bookmarkEnd w:id="234"/>
    </w:p>
    <w:p w14:paraId="79F26ED8">
      <w:pPr>
        <w:spacing w:before="290" w:line="360" w:lineRule="auto"/>
        <w:outlineLvl w:val="0"/>
        <w:rPr>
          <w:rFonts w:hint="eastAsia" w:ascii="宋体" w:hAnsi="宋体" w:eastAsia="宋体" w:cs="宋体"/>
          <w:bCs/>
          <w:color w:val="auto"/>
          <w:sz w:val="24"/>
          <w:szCs w:val="24"/>
          <w:highlight w:val="none"/>
        </w:rPr>
      </w:pPr>
      <w:bookmarkStart w:id="235" w:name="_Toc186493293"/>
      <w:r>
        <w:rPr>
          <w:rFonts w:hint="eastAsia" w:ascii="宋体" w:hAnsi="宋体" w:eastAsia="宋体" w:cs="宋体"/>
          <w:bCs/>
          <w:color w:val="auto"/>
          <w:sz w:val="24"/>
          <w:szCs w:val="24"/>
          <w:highlight w:val="none"/>
        </w:rPr>
        <w:t>一、质疑供应商基本信息</w:t>
      </w:r>
      <w:bookmarkEnd w:id="235"/>
    </w:p>
    <w:p w14:paraId="0D9B43A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质疑供应商：</w:t>
      </w:r>
    </w:p>
    <w:p w14:paraId="5659E8C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00E30A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联系人：联系电话：</w:t>
      </w:r>
    </w:p>
    <w:p w14:paraId="7E738B4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w:t>
      </w:r>
    </w:p>
    <w:p w14:paraId="7E2B76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5B7858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14:paraId="78A31953">
      <w:pPr>
        <w:spacing w:line="360" w:lineRule="auto"/>
        <w:outlineLvl w:val="0"/>
        <w:rPr>
          <w:rFonts w:hint="eastAsia" w:ascii="宋体" w:hAnsi="宋体" w:eastAsia="宋体" w:cs="宋体"/>
          <w:bCs/>
          <w:color w:val="auto"/>
          <w:sz w:val="24"/>
          <w:szCs w:val="24"/>
          <w:highlight w:val="none"/>
        </w:rPr>
      </w:pPr>
      <w:bookmarkStart w:id="236" w:name="_Toc186493294"/>
      <w:r>
        <w:rPr>
          <w:rFonts w:hint="eastAsia" w:ascii="宋体" w:hAnsi="宋体" w:eastAsia="宋体" w:cs="宋体"/>
          <w:bCs/>
          <w:color w:val="auto"/>
          <w:sz w:val="24"/>
          <w:szCs w:val="24"/>
          <w:highlight w:val="none"/>
        </w:rPr>
        <w:t>二、质疑项目基本情况</w:t>
      </w:r>
      <w:bookmarkEnd w:id="236"/>
    </w:p>
    <w:p w14:paraId="5124BB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0F3ECA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质疑项目的编号：包号：</w:t>
      </w:r>
    </w:p>
    <w:p w14:paraId="66A23B3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p>
    <w:p w14:paraId="3900D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4F85A988">
      <w:pPr>
        <w:spacing w:line="360" w:lineRule="auto"/>
        <w:outlineLvl w:val="0"/>
        <w:rPr>
          <w:rFonts w:hint="eastAsia" w:ascii="宋体" w:hAnsi="宋体" w:eastAsia="宋体" w:cs="宋体"/>
          <w:bCs/>
          <w:color w:val="auto"/>
          <w:sz w:val="24"/>
          <w:szCs w:val="24"/>
          <w:highlight w:val="none"/>
        </w:rPr>
      </w:pPr>
      <w:bookmarkStart w:id="237" w:name="_Toc186493295"/>
      <w:r>
        <w:rPr>
          <w:rFonts w:hint="eastAsia" w:ascii="宋体" w:hAnsi="宋体" w:eastAsia="宋体" w:cs="宋体"/>
          <w:bCs/>
          <w:color w:val="auto"/>
          <w:sz w:val="24"/>
          <w:szCs w:val="24"/>
          <w:highlight w:val="none"/>
        </w:rPr>
        <w:t>三、质疑事项具体内容</w:t>
      </w:r>
      <w:bookmarkEnd w:id="237"/>
    </w:p>
    <w:p w14:paraId="26BEAD4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407EA6D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46FCF354">
      <w:pPr>
        <w:spacing w:line="360" w:lineRule="auto"/>
        <w:rPr>
          <w:rFonts w:hint="eastAsia" w:ascii="宋体" w:hAnsi="宋体" w:eastAsia="宋体" w:cs="宋体"/>
          <w:color w:val="auto"/>
          <w:sz w:val="24"/>
          <w:szCs w:val="24"/>
          <w:highlight w:val="none"/>
        </w:rPr>
      </w:pPr>
    </w:p>
    <w:p w14:paraId="0BD8E3B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40CD867">
      <w:pPr>
        <w:spacing w:line="360" w:lineRule="auto"/>
        <w:rPr>
          <w:rFonts w:hint="eastAsia" w:ascii="宋体" w:hAnsi="宋体" w:eastAsia="宋体" w:cs="宋体"/>
          <w:color w:val="auto"/>
          <w:sz w:val="24"/>
          <w:szCs w:val="24"/>
          <w:highlight w:val="none"/>
          <w:u w:val="single"/>
        </w:rPr>
      </w:pPr>
    </w:p>
    <w:p w14:paraId="6F57C5D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质疑事项2</w:t>
      </w:r>
    </w:p>
    <w:p w14:paraId="5DD80A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88D21CA">
      <w:pPr>
        <w:spacing w:line="360" w:lineRule="auto"/>
        <w:outlineLvl w:val="0"/>
        <w:rPr>
          <w:rFonts w:hint="eastAsia" w:ascii="宋体" w:hAnsi="宋体" w:eastAsia="宋体" w:cs="宋体"/>
          <w:bCs/>
          <w:color w:val="auto"/>
          <w:sz w:val="24"/>
          <w:szCs w:val="24"/>
          <w:highlight w:val="none"/>
        </w:rPr>
      </w:pPr>
      <w:bookmarkStart w:id="238" w:name="_Toc186493296"/>
      <w:r>
        <w:rPr>
          <w:rFonts w:hint="eastAsia" w:ascii="宋体" w:hAnsi="宋体" w:eastAsia="宋体" w:cs="宋体"/>
          <w:bCs/>
          <w:color w:val="auto"/>
          <w:sz w:val="24"/>
          <w:szCs w:val="24"/>
          <w:highlight w:val="none"/>
        </w:rPr>
        <w:t>四、与质疑事项相关的质疑请求</w:t>
      </w:r>
      <w:bookmarkEnd w:id="238"/>
    </w:p>
    <w:p w14:paraId="77BCAEE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p>
    <w:p w14:paraId="03CC85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3B35FA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5171F24">
      <w:pPr>
        <w:spacing w:line="400" w:lineRule="exact"/>
        <w:rPr>
          <w:rFonts w:hint="eastAsia" w:ascii="宋体" w:hAnsi="宋体" w:eastAsia="宋体" w:cs="宋体"/>
          <w:b/>
          <w:color w:val="auto"/>
          <w:sz w:val="24"/>
          <w:szCs w:val="24"/>
          <w:highlight w:val="none"/>
        </w:rPr>
      </w:pPr>
    </w:p>
    <w:p w14:paraId="3DB17EB2">
      <w:pPr>
        <w:spacing w:line="400" w:lineRule="exact"/>
        <w:rPr>
          <w:rFonts w:hint="eastAsia" w:ascii="宋体" w:hAnsi="宋体" w:eastAsia="宋体" w:cs="宋体"/>
          <w:b/>
          <w:color w:val="auto"/>
          <w:sz w:val="24"/>
          <w:szCs w:val="24"/>
          <w:highlight w:val="none"/>
        </w:rPr>
      </w:pPr>
    </w:p>
    <w:p w14:paraId="4692A080">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546A42D9">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30999775">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DE55EBC">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B8E7BAA">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EE06B31">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7D240E69">
      <w:pPr>
        <w:widowControl/>
        <w:spacing w:line="4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6AD7D8D">
      <w:pPr>
        <w:pStyle w:val="12"/>
        <w:rPr>
          <w:rFonts w:hint="eastAsia" w:ascii="宋体" w:hAnsi="宋体" w:eastAsia="宋体" w:cs="宋体"/>
          <w:color w:val="auto"/>
          <w:sz w:val="24"/>
          <w:szCs w:val="24"/>
          <w:highlight w:val="none"/>
        </w:rPr>
      </w:pPr>
    </w:p>
    <w:p w14:paraId="4F083EE0">
      <w:pPr>
        <w:pStyle w:val="12"/>
        <w:rPr>
          <w:rFonts w:hint="eastAsia" w:ascii="宋体" w:hAnsi="宋体" w:eastAsia="宋体" w:cs="宋体"/>
          <w:color w:val="auto"/>
          <w:sz w:val="24"/>
          <w:szCs w:val="24"/>
          <w:highlight w:val="none"/>
        </w:rPr>
      </w:pPr>
    </w:p>
    <w:p w14:paraId="1FC865C3">
      <w:pPr>
        <w:widowControl/>
        <w:spacing w:line="700" w:lineRule="exact"/>
        <w:jc w:val="left"/>
        <w:rPr>
          <w:rFonts w:hint="eastAsia" w:ascii="宋体" w:hAnsi="宋体" w:eastAsia="宋体" w:cs="宋体"/>
          <w:color w:val="auto"/>
          <w:sz w:val="24"/>
          <w:szCs w:val="24"/>
          <w:highlight w:val="none"/>
        </w:rPr>
      </w:pPr>
    </w:p>
    <w:p w14:paraId="68599B30">
      <w:pPr>
        <w:rPr>
          <w:rFonts w:hint="eastAsia" w:ascii="宋体" w:hAnsi="宋体" w:eastAsia="宋体" w:cs="宋体"/>
          <w:color w:val="auto"/>
          <w:highlight w:val="none"/>
        </w:rPr>
      </w:pPr>
    </w:p>
    <w:p w14:paraId="6AF98465">
      <w:pPr>
        <w:rPr>
          <w:rFonts w:hint="eastAsia" w:ascii="宋体" w:hAnsi="宋体" w:eastAsia="宋体" w:cs="宋体"/>
          <w:color w:val="auto"/>
          <w:highlight w:val="none"/>
        </w:rPr>
      </w:pPr>
    </w:p>
    <w:sectPr>
      <w:pgSz w:w="11906" w:h="16838"/>
      <w:pgMar w:top="1106" w:right="1247" w:bottom="1015" w:left="1247" w:header="907" w:footer="907" w:gutter="0"/>
      <w:pgBorders>
        <w:top w:val="none" w:sz="0" w:space="0"/>
        <w:left w:val="none" w:sz="0" w:space="0"/>
        <w:bottom w:val="none" w:sz="0" w:space="0"/>
        <w:right w:val="none" w:sz="0" w:space="0"/>
      </w:pgBorders>
      <w:cols w:space="0" w:num="1"/>
      <w:titlePg/>
      <w:rtlGutter w:val="0"/>
      <w:docGrid w:type="linesAndChars" w:linePitch="294"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5418">
    <w:pPr>
      <w:pStyle w:val="22"/>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66480"/>
      <w:docPartObj>
        <w:docPartGallery w:val="autotext"/>
      </w:docPartObj>
    </w:sdtPr>
    <w:sdtContent>
      <w:p w14:paraId="7AE09295">
        <w:pPr>
          <w:pStyle w:val="2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5B47C43">
    <w:pPr>
      <w:pStyle w:val="22"/>
      <w:jc w:val="center"/>
      <w:rPr>
        <w:b/>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587"/>
      <w:docPartObj>
        <w:docPartGallery w:val="autotext"/>
      </w:docPartObj>
    </w:sdtPr>
    <w:sdtContent>
      <w:p w14:paraId="6C7BAFF8">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874B3">
    <w:pPr>
      <w:pStyle w:val="22"/>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1</w:t>
    </w:r>
    <w:r>
      <w:rPr>
        <w:rStyle w:val="40"/>
      </w:rPr>
      <w:fldChar w:fldCharType="end"/>
    </w:r>
  </w:p>
  <w:p w14:paraId="16B7D219">
    <w:pPr>
      <w:pStyle w:val="2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A395">
    <w:pPr>
      <w:pStyle w:val="22"/>
      <w:jc w:val="center"/>
    </w:pPr>
    <w:r>
      <w:fldChar w:fldCharType="begin"/>
    </w:r>
    <w:r>
      <w:instrText xml:space="preserve"> PAGE   \* MERGEFORMAT </w:instrText>
    </w:r>
    <w:r>
      <w:fldChar w:fldCharType="separate"/>
    </w:r>
    <w:r>
      <w:rPr>
        <w:lang w:val="zh-CN"/>
      </w:rPr>
      <w:t>19</w:t>
    </w:r>
    <w:r>
      <w:rPr>
        <w:lang w:val="zh-CN"/>
      </w:rPr>
      <w:fldChar w:fldCharType="end"/>
    </w:r>
  </w:p>
  <w:p w14:paraId="532877E4">
    <w:pPr>
      <w:pStyle w:val="22"/>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7FA7">
    <w:pPr>
      <w:pStyle w:val="232"/>
      <w:spacing w:before="61" w:line="235" w:lineRule="auto"/>
      <w:ind w:right="5"/>
      <w:jc w:val="right"/>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D25BC"/>
    <w:multiLevelType w:val="multilevel"/>
    <w:tmpl w:val="A48D25BC"/>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AA21EA28"/>
    <w:multiLevelType w:val="multilevel"/>
    <w:tmpl w:val="AA21EA28"/>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upperLetter"/>
      <w:pStyle w:val="229"/>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C163DCE"/>
    <w:multiLevelType w:val="singleLevel"/>
    <w:tmpl w:val="4C163DCE"/>
    <w:lvl w:ilvl="0" w:tentative="0">
      <w:start w:val="4"/>
      <w:numFmt w:val="chineseCounting"/>
      <w:suff w:val="nothing"/>
      <w:lvlText w:val="%1、"/>
      <w:lvlJc w:val="left"/>
      <w:rPr>
        <w:rFonts w:hint="eastAsia"/>
      </w:rPr>
    </w:lvl>
  </w:abstractNum>
  <w:abstractNum w:abstractNumId="4">
    <w:nsid w:val="76F7AFB9"/>
    <w:multiLevelType w:val="singleLevel"/>
    <w:tmpl w:val="76F7AFB9"/>
    <w:lvl w:ilvl="0" w:tentative="0">
      <w:start w:val="8"/>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7"/>
  <w:drawingGridVerticalSpacing w:val="147"/>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6413"/>
    <w:rsid w:val="002E6A1B"/>
    <w:rsid w:val="00866E24"/>
    <w:rsid w:val="008C0D4E"/>
    <w:rsid w:val="00971037"/>
    <w:rsid w:val="00AB25D0"/>
    <w:rsid w:val="011078C7"/>
    <w:rsid w:val="014E23E0"/>
    <w:rsid w:val="01FF0067"/>
    <w:rsid w:val="020C008E"/>
    <w:rsid w:val="029F53A6"/>
    <w:rsid w:val="03030A3E"/>
    <w:rsid w:val="03322962"/>
    <w:rsid w:val="040A684F"/>
    <w:rsid w:val="04104DE8"/>
    <w:rsid w:val="04837A47"/>
    <w:rsid w:val="04C9495C"/>
    <w:rsid w:val="04DB24E5"/>
    <w:rsid w:val="05450D48"/>
    <w:rsid w:val="05AF57AD"/>
    <w:rsid w:val="07FE349D"/>
    <w:rsid w:val="08002443"/>
    <w:rsid w:val="08294A5C"/>
    <w:rsid w:val="08C40E78"/>
    <w:rsid w:val="090C5E9C"/>
    <w:rsid w:val="09F935EE"/>
    <w:rsid w:val="0A77431C"/>
    <w:rsid w:val="0A876E4C"/>
    <w:rsid w:val="0BD63C74"/>
    <w:rsid w:val="0C2F32F7"/>
    <w:rsid w:val="0C395F24"/>
    <w:rsid w:val="0C5745FC"/>
    <w:rsid w:val="0C6531BD"/>
    <w:rsid w:val="0C90769F"/>
    <w:rsid w:val="0DD570CD"/>
    <w:rsid w:val="0DE13138"/>
    <w:rsid w:val="0E1E1875"/>
    <w:rsid w:val="0E340610"/>
    <w:rsid w:val="0E732330"/>
    <w:rsid w:val="0E9C0AD4"/>
    <w:rsid w:val="0F45587B"/>
    <w:rsid w:val="0F7537A4"/>
    <w:rsid w:val="0FB5271F"/>
    <w:rsid w:val="10125B88"/>
    <w:rsid w:val="10BD12C2"/>
    <w:rsid w:val="10DC4A8E"/>
    <w:rsid w:val="1145536B"/>
    <w:rsid w:val="11A66CA4"/>
    <w:rsid w:val="11CE7C31"/>
    <w:rsid w:val="1232769D"/>
    <w:rsid w:val="125B4CBE"/>
    <w:rsid w:val="129C6B7B"/>
    <w:rsid w:val="12DA277F"/>
    <w:rsid w:val="13F26515"/>
    <w:rsid w:val="14046306"/>
    <w:rsid w:val="144E1673"/>
    <w:rsid w:val="14866A15"/>
    <w:rsid w:val="150317C5"/>
    <w:rsid w:val="166B13D0"/>
    <w:rsid w:val="16B21029"/>
    <w:rsid w:val="16E15B36"/>
    <w:rsid w:val="17012AEA"/>
    <w:rsid w:val="171B2659"/>
    <w:rsid w:val="171E2D8F"/>
    <w:rsid w:val="174065B3"/>
    <w:rsid w:val="175005C5"/>
    <w:rsid w:val="17691658"/>
    <w:rsid w:val="190447D4"/>
    <w:rsid w:val="19B3604F"/>
    <w:rsid w:val="19BE3676"/>
    <w:rsid w:val="19D01780"/>
    <w:rsid w:val="1B7421A9"/>
    <w:rsid w:val="1B97104B"/>
    <w:rsid w:val="1BD75E2C"/>
    <w:rsid w:val="1C150C0C"/>
    <w:rsid w:val="1C232984"/>
    <w:rsid w:val="1C5D1849"/>
    <w:rsid w:val="1D3137F6"/>
    <w:rsid w:val="1D395729"/>
    <w:rsid w:val="1D5030CD"/>
    <w:rsid w:val="1D68045E"/>
    <w:rsid w:val="1DAF719A"/>
    <w:rsid w:val="1E443F75"/>
    <w:rsid w:val="1ED86226"/>
    <w:rsid w:val="1F356A1F"/>
    <w:rsid w:val="1F952153"/>
    <w:rsid w:val="1FB21CE5"/>
    <w:rsid w:val="208F03B0"/>
    <w:rsid w:val="218464AE"/>
    <w:rsid w:val="21A36E5D"/>
    <w:rsid w:val="21A41C3A"/>
    <w:rsid w:val="21A70001"/>
    <w:rsid w:val="21D020D9"/>
    <w:rsid w:val="220E050E"/>
    <w:rsid w:val="22734459"/>
    <w:rsid w:val="22BF2BDC"/>
    <w:rsid w:val="22C205C9"/>
    <w:rsid w:val="23190054"/>
    <w:rsid w:val="23580F2E"/>
    <w:rsid w:val="25223F74"/>
    <w:rsid w:val="259B3B4A"/>
    <w:rsid w:val="25E66CC5"/>
    <w:rsid w:val="26F251F5"/>
    <w:rsid w:val="27767BD4"/>
    <w:rsid w:val="279261C1"/>
    <w:rsid w:val="27AE7A61"/>
    <w:rsid w:val="28011B94"/>
    <w:rsid w:val="28154809"/>
    <w:rsid w:val="28362E2B"/>
    <w:rsid w:val="28CA228D"/>
    <w:rsid w:val="28CC431B"/>
    <w:rsid w:val="29086F52"/>
    <w:rsid w:val="299A404E"/>
    <w:rsid w:val="29BE4DE0"/>
    <w:rsid w:val="2A071F1F"/>
    <w:rsid w:val="2A075D21"/>
    <w:rsid w:val="2AA74436"/>
    <w:rsid w:val="2AAD3775"/>
    <w:rsid w:val="2AFC7FE6"/>
    <w:rsid w:val="2BBA2193"/>
    <w:rsid w:val="2C1D328F"/>
    <w:rsid w:val="2C604D64"/>
    <w:rsid w:val="2CBE5118"/>
    <w:rsid w:val="2CFB12A7"/>
    <w:rsid w:val="2D1136B6"/>
    <w:rsid w:val="2D1A49BD"/>
    <w:rsid w:val="2DC572CF"/>
    <w:rsid w:val="2E1B61BA"/>
    <w:rsid w:val="2EE5675B"/>
    <w:rsid w:val="2EF64565"/>
    <w:rsid w:val="2EFF622A"/>
    <w:rsid w:val="2F911094"/>
    <w:rsid w:val="2F952E60"/>
    <w:rsid w:val="2FD20C68"/>
    <w:rsid w:val="301C6D51"/>
    <w:rsid w:val="30575990"/>
    <w:rsid w:val="30872E52"/>
    <w:rsid w:val="310C5ADB"/>
    <w:rsid w:val="312863E3"/>
    <w:rsid w:val="31833619"/>
    <w:rsid w:val="319E48F7"/>
    <w:rsid w:val="31D9148B"/>
    <w:rsid w:val="3202507E"/>
    <w:rsid w:val="320A3FAE"/>
    <w:rsid w:val="32233065"/>
    <w:rsid w:val="325038C0"/>
    <w:rsid w:val="32BD1546"/>
    <w:rsid w:val="33AD2BD0"/>
    <w:rsid w:val="346D3E53"/>
    <w:rsid w:val="34C86836"/>
    <w:rsid w:val="35B67D87"/>
    <w:rsid w:val="35C0308E"/>
    <w:rsid w:val="360C7D55"/>
    <w:rsid w:val="36284168"/>
    <w:rsid w:val="368925F7"/>
    <w:rsid w:val="36B17579"/>
    <w:rsid w:val="36B83D65"/>
    <w:rsid w:val="36C95C32"/>
    <w:rsid w:val="36D73248"/>
    <w:rsid w:val="370B137F"/>
    <w:rsid w:val="371D7F62"/>
    <w:rsid w:val="37620175"/>
    <w:rsid w:val="37676EAB"/>
    <w:rsid w:val="3779661A"/>
    <w:rsid w:val="378C567A"/>
    <w:rsid w:val="378C63B1"/>
    <w:rsid w:val="37B41122"/>
    <w:rsid w:val="38EF579E"/>
    <w:rsid w:val="39B91FEE"/>
    <w:rsid w:val="39F72DF7"/>
    <w:rsid w:val="39F96B6F"/>
    <w:rsid w:val="3A437DEA"/>
    <w:rsid w:val="3A8668FA"/>
    <w:rsid w:val="3A9514DA"/>
    <w:rsid w:val="3AB042CB"/>
    <w:rsid w:val="3ACE37A5"/>
    <w:rsid w:val="3ADF1782"/>
    <w:rsid w:val="3AED7D56"/>
    <w:rsid w:val="3B4F660B"/>
    <w:rsid w:val="3B5B2575"/>
    <w:rsid w:val="3BB45E27"/>
    <w:rsid w:val="3BED46A3"/>
    <w:rsid w:val="3D273AE0"/>
    <w:rsid w:val="3D36579B"/>
    <w:rsid w:val="3D6A7D83"/>
    <w:rsid w:val="3DDC3759"/>
    <w:rsid w:val="3DE10046"/>
    <w:rsid w:val="3E4B54BF"/>
    <w:rsid w:val="3EB50271"/>
    <w:rsid w:val="3EB805C7"/>
    <w:rsid w:val="3F3917BB"/>
    <w:rsid w:val="3FDC349B"/>
    <w:rsid w:val="3FE1193D"/>
    <w:rsid w:val="405C41EF"/>
    <w:rsid w:val="407D653E"/>
    <w:rsid w:val="40BF5014"/>
    <w:rsid w:val="412F6470"/>
    <w:rsid w:val="41F50E78"/>
    <w:rsid w:val="42192F7B"/>
    <w:rsid w:val="422D771F"/>
    <w:rsid w:val="424E3E69"/>
    <w:rsid w:val="428131C9"/>
    <w:rsid w:val="42E33231"/>
    <w:rsid w:val="43281A31"/>
    <w:rsid w:val="43DC1A0D"/>
    <w:rsid w:val="43FE2133"/>
    <w:rsid w:val="44725636"/>
    <w:rsid w:val="44FA35FD"/>
    <w:rsid w:val="45637592"/>
    <w:rsid w:val="457A5EF2"/>
    <w:rsid w:val="45A92BC9"/>
    <w:rsid w:val="474C3F5D"/>
    <w:rsid w:val="476C6A74"/>
    <w:rsid w:val="47BB0CCB"/>
    <w:rsid w:val="48237796"/>
    <w:rsid w:val="48515DC8"/>
    <w:rsid w:val="48A90EBB"/>
    <w:rsid w:val="496B4CA0"/>
    <w:rsid w:val="49C4560F"/>
    <w:rsid w:val="4A5B7E34"/>
    <w:rsid w:val="4ACB00B3"/>
    <w:rsid w:val="4AF64B7C"/>
    <w:rsid w:val="4AFA62A3"/>
    <w:rsid w:val="4BA64E06"/>
    <w:rsid w:val="4BE73F62"/>
    <w:rsid w:val="4C1E393E"/>
    <w:rsid w:val="4C7205A5"/>
    <w:rsid w:val="4DB37B38"/>
    <w:rsid w:val="4DCA62DD"/>
    <w:rsid w:val="4EBE573E"/>
    <w:rsid w:val="4EE44497"/>
    <w:rsid w:val="4F302BDB"/>
    <w:rsid w:val="4F410CAD"/>
    <w:rsid w:val="4FD3350B"/>
    <w:rsid w:val="500B71A4"/>
    <w:rsid w:val="500E28B2"/>
    <w:rsid w:val="50EC2B32"/>
    <w:rsid w:val="5164364B"/>
    <w:rsid w:val="51765DFD"/>
    <w:rsid w:val="519E6ECF"/>
    <w:rsid w:val="52547743"/>
    <w:rsid w:val="52EB59D1"/>
    <w:rsid w:val="52F35C31"/>
    <w:rsid w:val="54E84E40"/>
    <w:rsid w:val="55077873"/>
    <w:rsid w:val="55434719"/>
    <w:rsid w:val="554A6E6E"/>
    <w:rsid w:val="55C51BA3"/>
    <w:rsid w:val="55F73214"/>
    <w:rsid w:val="55F92552"/>
    <w:rsid w:val="56D83F29"/>
    <w:rsid w:val="56DE10C7"/>
    <w:rsid w:val="572216F1"/>
    <w:rsid w:val="57727B09"/>
    <w:rsid w:val="580C09C9"/>
    <w:rsid w:val="584C3E7F"/>
    <w:rsid w:val="58B33F35"/>
    <w:rsid w:val="59635CB4"/>
    <w:rsid w:val="59CD7278"/>
    <w:rsid w:val="59DB7BE7"/>
    <w:rsid w:val="59EC50C7"/>
    <w:rsid w:val="5A032EEA"/>
    <w:rsid w:val="5A0B7F97"/>
    <w:rsid w:val="5A654426"/>
    <w:rsid w:val="5C4B0133"/>
    <w:rsid w:val="5C6B79B4"/>
    <w:rsid w:val="5C721E19"/>
    <w:rsid w:val="5D2D69AC"/>
    <w:rsid w:val="5D722610"/>
    <w:rsid w:val="5DA41571"/>
    <w:rsid w:val="5DA76D9D"/>
    <w:rsid w:val="5DD821C1"/>
    <w:rsid w:val="5F1C09BB"/>
    <w:rsid w:val="5F4F7F43"/>
    <w:rsid w:val="5FE62E42"/>
    <w:rsid w:val="601212AA"/>
    <w:rsid w:val="60A76A75"/>
    <w:rsid w:val="614534C9"/>
    <w:rsid w:val="615C5477"/>
    <w:rsid w:val="61842381"/>
    <w:rsid w:val="61B239AB"/>
    <w:rsid w:val="61BA27D8"/>
    <w:rsid w:val="61C977B9"/>
    <w:rsid w:val="6220263B"/>
    <w:rsid w:val="6299163B"/>
    <w:rsid w:val="62E01DCA"/>
    <w:rsid w:val="6324615B"/>
    <w:rsid w:val="63364205"/>
    <w:rsid w:val="64735E53"/>
    <w:rsid w:val="65225751"/>
    <w:rsid w:val="656729C2"/>
    <w:rsid w:val="656F7435"/>
    <w:rsid w:val="65985489"/>
    <w:rsid w:val="660164E0"/>
    <w:rsid w:val="669874FF"/>
    <w:rsid w:val="66B92259"/>
    <w:rsid w:val="6704169E"/>
    <w:rsid w:val="67443B6F"/>
    <w:rsid w:val="67DB4126"/>
    <w:rsid w:val="68217862"/>
    <w:rsid w:val="682F23A6"/>
    <w:rsid w:val="686B20E8"/>
    <w:rsid w:val="68C36416"/>
    <w:rsid w:val="68D52A98"/>
    <w:rsid w:val="68D550AF"/>
    <w:rsid w:val="68E74C64"/>
    <w:rsid w:val="69431B84"/>
    <w:rsid w:val="69912D7D"/>
    <w:rsid w:val="6A5E135C"/>
    <w:rsid w:val="6A7A0D56"/>
    <w:rsid w:val="6A966A50"/>
    <w:rsid w:val="6A984704"/>
    <w:rsid w:val="6AA549C5"/>
    <w:rsid w:val="6B182A49"/>
    <w:rsid w:val="6B4020DA"/>
    <w:rsid w:val="6B4A563E"/>
    <w:rsid w:val="6C16685D"/>
    <w:rsid w:val="6C755C79"/>
    <w:rsid w:val="6D090170"/>
    <w:rsid w:val="6DF62992"/>
    <w:rsid w:val="6E3D27C7"/>
    <w:rsid w:val="6EFA7BFF"/>
    <w:rsid w:val="6F5B1156"/>
    <w:rsid w:val="6F775864"/>
    <w:rsid w:val="6F7C08F2"/>
    <w:rsid w:val="6FBF5649"/>
    <w:rsid w:val="6FE0165C"/>
    <w:rsid w:val="6FF11ABB"/>
    <w:rsid w:val="6FF45107"/>
    <w:rsid w:val="70900510"/>
    <w:rsid w:val="710B7DC9"/>
    <w:rsid w:val="712E4649"/>
    <w:rsid w:val="714D0F73"/>
    <w:rsid w:val="71976CEE"/>
    <w:rsid w:val="719E17CE"/>
    <w:rsid w:val="71DB1320"/>
    <w:rsid w:val="724B20B5"/>
    <w:rsid w:val="72F74C46"/>
    <w:rsid w:val="72FA5B9A"/>
    <w:rsid w:val="7318611E"/>
    <w:rsid w:val="73214465"/>
    <w:rsid w:val="737208DB"/>
    <w:rsid w:val="73920301"/>
    <w:rsid w:val="74A9617D"/>
    <w:rsid w:val="74B35591"/>
    <w:rsid w:val="759AC977"/>
    <w:rsid w:val="75EC43AC"/>
    <w:rsid w:val="766C6C2F"/>
    <w:rsid w:val="76EA2DC0"/>
    <w:rsid w:val="77A9459E"/>
    <w:rsid w:val="77FC495B"/>
    <w:rsid w:val="78583D63"/>
    <w:rsid w:val="78E86DDB"/>
    <w:rsid w:val="790F16AE"/>
    <w:rsid w:val="791E77E0"/>
    <w:rsid w:val="7A5F39FD"/>
    <w:rsid w:val="7DDC275F"/>
    <w:rsid w:val="7E345985"/>
    <w:rsid w:val="7E783185"/>
    <w:rsid w:val="7F053DB5"/>
    <w:rsid w:val="7F1C1122"/>
    <w:rsid w:val="7F1DD288"/>
    <w:rsid w:val="7F8244DD"/>
    <w:rsid w:val="7FC56178"/>
    <w:rsid w:val="7FE01204"/>
    <w:rsid w:val="F5FF5C12"/>
    <w:rsid w:val="FD74E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2"/>
    <w:basedOn w:val="1"/>
    <w:next w:val="1"/>
    <w:link w:val="8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8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8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8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8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8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8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87"/>
    <w:unhideWhenUsed/>
    <w:qFormat/>
    <w:uiPriority w:val="9"/>
    <w:pPr>
      <w:keepNext/>
      <w:keepLines/>
      <w:spacing w:before="320" w:after="200"/>
      <w:outlineLvl w:val="8"/>
    </w:pPr>
    <w:rPr>
      <w:rFonts w:ascii="Arial" w:hAnsi="Arial" w:eastAsia="Arial" w:cs="Arial"/>
      <w:i/>
      <w:iCs/>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w:basedOn w:val="1"/>
    <w:qFormat/>
    <w:uiPriority w:val="0"/>
    <w:rPr>
      <w:rFonts w:ascii="楷体_GB2312" w:hAnsi="Arial" w:eastAsia="楷体_GB2312"/>
      <w:sz w:val="28"/>
      <w:szCs w:val="28"/>
    </w:rPr>
  </w:style>
  <w:style w:type="paragraph" w:styleId="15">
    <w:name w:val="Body Text Indent"/>
    <w:basedOn w:val="1"/>
    <w:next w:val="16"/>
    <w:qFormat/>
    <w:uiPriority w:val="0"/>
    <w:pPr>
      <w:ind w:firstLine="645"/>
    </w:pPr>
    <w:rPr>
      <w:rFonts w:ascii="楷体_GB2312" w:eastAsia="楷体_GB2312"/>
      <w:sz w:val="32"/>
      <w:szCs w:val="32"/>
    </w:rPr>
  </w:style>
  <w:style w:type="paragraph" w:styleId="16">
    <w:name w:val="envelope return"/>
    <w:basedOn w:val="1"/>
    <w:unhideWhenUsed/>
    <w:qFormat/>
    <w:uiPriority w:val="99"/>
    <w:rPr>
      <w:rFonts w:ascii="Arial" w:hAnsi="Arial"/>
    </w:rPr>
  </w:style>
  <w:style w:type="paragraph" w:styleId="17">
    <w:name w:val="toc 5"/>
    <w:basedOn w:val="1"/>
    <w:next w:val="1"/>
    <w:unhideWhenUsed/>
    <w:qFormat/>
    <w:uiPriority w:val="39"/>
    <w:pPr>
      <w:spacing w:after="57"/>
      <w:ind w:left="1134"/>
    </w:pPr>
  </w:style>
  <w:style w:type="paragraph" w:styleId="18">
    <w:name w:val="toc 3"/>
    <w:basedOn w:val="1"/>
    <w:next w:val="1"/>
    <w:unhideWhenUsed/>
    <w:qFormat/>
    <w:uiPriority w:val="39"/>
    <w:pPr>
      <w:spacing w:after="57"/>
      <w:ind w:left="567"/>
    </w:pPr>
  </w:style>
  <w:style w:type="paragraph" w:styleId="19">
    <w:name w:val="Plain Text"/>
    <w:basedOn w:val="1"/>
    <w:next w:val="1"/>
    <w:qFormat/>
    <w:uiPriority w:val="0"/>
    <w:rPr>
      <w:rFonts w:ascii="宋体" w:hAnsi="Courier New" w:cs="Courier New"/>
    </w:rPr>
  </w:style>
  <w:style w:type="paragraph" w:styleId="20">
    <w:name w:val="toc 8"/>
    <w:basedOn w:val="1"/>
    <w:next w:val="1"/>
    <w:unhideWhenUsed/>
    <w:qFormat/>
    <w:uiPriority w:val="39"/>
    <w:pPr>
      <w:spacing w:after="57"/>
      <w:ind w:left="1984"/>
    </w:pPr>
  </w:style>
  <w:style w:type="paragraph" w:styleId="21">
    <w:name w:val="endnote text"/>
    <w:basedOn w:val="1"/>
    <w:link w:val="224"/>
    <w:semiHidden/>
    <w:unhideWhenUsed/>
    <w:qFormat/>
    <w:uiPriority w:val="99"/>
    <w:rPr>
      <w:sz w:val="20"/>
    </w:rPr>
  </w:style>
  <w:style w:type="paragraph" w:styleId="22">
    <w:name w:val="footer"/>
    <w:basedOn w:val="1"/>
    <w:link w:val="240"/>
    <w:qFormat/>
    <w:uiPriority w:val="99"/>
    <w:pPr>
      <w:tabs>
        <w:tab w:val="center" w:pos="4153"/>
        <w:tab w:val="right" w:pos="8306"/>
      </w:tabs>
      <w:jc w:val="left"/>
    </w:pPr>
    <w:rPr>
      <w:sz w:val="18"/>
      <w:szCs w:val="18"/>
    </w:rPr>
  </w:style>
  <w:style w:type="paragraph" w:styleId="23">
    <w:name w:val="header"/>
    <w:basedOn w:val="1"/>
    <w:qFormat/>
    <w:uiPriority w:val="0"/>
    <w:pPr>
      <w:tabs>
        <w:tab w:val="center" w:pos="4153"/>
        <w:tab w:val="right" w:pos="8306"/>
      </w:tabs>
      <w:jc w:val="center"/>
    </w:pPr>
    <w:rPr>
      <w:sz w:val="18"/>
      <w:szCs w:val="18"/>
    </w:rPr>
  </w:style>
  <w:style w:type="paragraph" w:styleId="24">
    <w:name w:val="toc 1"/>
    <w:basedOn w:val="1"/>
    <w:next w:val="1"/>
    <w:qFormat/>
    <w:uiPriority w:val="39"/>
    <w:pPr>
      <w:tabs>
        <w:tab w:val="right" w:leader="dot" w:pos="8720"/>
      </w:tabs>
      <w:spacing w:before="120" w:after="120" w:line="400" w:lineRule="exact"/>
      <w:jc w:val="left"/>
    </w:pPr>
    <w:rPr>
      <w:rFonts w:ascii="宋体" w:hAnsi="宋体"/>
      <w:caps/>
      <w:sz w:val="24"/>
      <w:szCs w:val="24"/>
    </w:rPr>
  </w:style>
  <w:style w:type="paragraph" w:styleId="25">
    <w:name w:val="toc 4"/>
    <w:basedOn w:val="1"/>
    <w:next w:val="1"/>
    <w:unhideWhenUsed/>
    <w:qFormat/>
    <w:uiPriority w:val="39"/>
    <w:pPr>
      <w:spacing w:after="57"/>
      <w:ind w:left="850"/>
    </w:pPr>
  </w:style>
  <w:style w:type="paragraph" w:styleId="26">
    <w:name w:val="Subtitle"/>
    <w:basedOn w:val="1"/>
    <w:next w:val="1"/>
    <w:link w:val="90"/>
    <w:qFormat/>
    <w:uiPriority w:val="11"/>
    <w:pPr>
      <w:spacing w:before="200" w:after="200"/>
    </w:pPr>
    <w:rPr>
      <w:sz w:val="24"/>
      <w:szCs w:val="24"/>
    </w:rPr>
  </w:style>
  <w:style w:type="paragraph" w:styleId="27">
    <w:name w:val="footnote text"/>
    <w:basedOn w:val="1"/>
    <w:link w:val="223"/>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3">
    <w:name w:val="Title"/>
    <w:basedOn w:val="1"/>
    <w:next w:val="1"/>
    <w:link w:val="89"/>
    <w:qFormat/>
    <w:uiPriority w:val="10"/>
    <w:pPr>
      <w:spacing w:before="300" w:after="200"/>
      <w:contextualSpacing/>
    </w:pPr>
    <w:rPr>
      <w:sz w:val="48"/>
      <w:szCs w:val="48"/>
    </w:rPr>
  </w:style>
  <w:style w:type="paragraph" w:styleId="34">
    <w:name w:val="Body Text First Indent"/>
    <w:basedOn w:val="14"/>
    <w:qFormat/>
    <w:uiPriority w:val="0"/>
    <w:pPr>
      <w:spacing w:line="360" w:lineRule="auto"/>
      <w:ind w:firstLine="200"/>
    </w:pPr>
    <w:rPr>
      <w:rFonts w:ascii="仿宋_GB2312" w:eastAsia="仿宋_GB2312"/>
      <w:sz w:val="30"/>
      <w:szCs w:val="30"/>
    </w:rPr>
  </w:style>
  <w:style w:type="paragraph" w:styleId="35">
    <w:name w:val="Body Text First Indent 2"/>
    <w:basedOn w:val="15"/>
    <w:next w:val="1"/>
    <w:qFormat/>
    <w:uiPriority w:val="0"/>
    <w:pPr>
      <w:spacing w:line="360" w:lineRule="auto"/>
      <w:ind w:firstLine="420"/>
    </w:pPr>
    <w:rPr>
      <w:rFonts w:ascii="宋体" w:hAnsi="宋体" w:eastAsia="宋体"/>
      <w:sz w:val="21"/>
      <w:szCs w:val="20"/>
    </w:rPr>
  </w:style>
  <w:style w:type="table" w:styleId="37">
    <w:name w:val="Table Grid"/>
    <w:basedOn w:val="3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basedOn w:val="38"/>
    <w:semiHidden/>
    <w:unhideWhenUsed/>
    <w:qFormat/>
    <w:uiPriority w:val="99"/>
    <w:rPr>
      <w:vertAlign w:val="superscript"/>
    </w:rPr>
  </w:style>
  <w:style w:type="character" w:styleId="40">
    <w:name w:val="page number"/>
    <w:basedOn w:val="38"/>
    <w:qFormat/>
    <w:uiPriority w:val="0"/>
  </w:style>
  <w:style w:type="character" w:styleId="41">
    <w:name w:val="FollowedHyperlink"/>
    <w:basedOn w:val="38"/>
    <w:semiHidden/>
    <w:unhideWhenUsed/>
    <w:qFormat/>
    <w:uiPriority w:val="99"/>
    <w:rPr>
      <w:color w:val="333333"/>
      <w:u w:val="none"/>
    </w:rPr>
  </w:style>
  <w:style w:type="character" w:styleId="42">
    <w:name w:val="Hyperlink"/>
    <w:unhideWhenUsed/>
    <w:qFormat/>
    <w:uiPriority w:val="99"/>
    <w:rPr>
      <w:color w:val="0026E5" w:themeColor="hyperlink"/>
      <w:u w:val="single"/>
      <w14:textFill>
        <w14:solidFill>
          <w14:schemeClr w14:val="hlink"/>
        </w14:solidFill>
      </w14:textFill>
    </w:rPr>
  </w:style>
  <w:style w:type="character" w:styleId="43">
    <w:name w:val="footnote reference"/>
    <w:basedOn w:val="38"/>
    <w:unhideWhenUsed/>
    <w:qFormat/>
    <w:uiPriority w:val="99"/>
    <w:rPr>
      <w:vertAlign w:val="superscript"/>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qFormat/>
    <w:uiPriority w:val="9"/>
    <w:rPr>
      <w:rFonts w:ascii="Arial" w:hAnsi="Arial" w:eastAsia="Arial" w:cs="Arial"/>
      <w:sz w:val="30"/>
      <w:szCs w:val="30"/>
    </w:rPr>
  </w:style>
  <w:style w:type="character" w:customStyle="1" w:styleId="46">
    <w:name w:val="Heading 4 Char"/>
    <w:basedOn w:val="38"/>
    <w:qFormat/>
    <w:uiPriority w:val="9"/>
    <w:rPr>
      <w:rFonts w:ascii="Arial" w:hAnsi="Arial" w:eastAsia="Arial" w:cs="Arial"/>
      <w:b/>
      <w:bCs/>
      <w:sz w:val="26"/>
      <w:szCs w:val="26"/>
    </w:rPr>
  </w:style>
  <w:style w:type="character" w:customStyle="1" w:styleId="47">
    <w:name w:val="Heading 5 Char"/>
    <w:basedOn w:val="38"/>
    <w:qFormat/>
    <w:uiPriority w:val="9"/>
    <w:rPr>
      <w:rFonts w:ascii="Arial" w:hAnsi="Arial" w:eastAsia="Arial" w:cs="Arial"/>
      <w:b/>
      <w:bCs/>
      <w:sz w:val="24"/>
      <w:szCs w:val="24"/>
    </w:rPr>
  </w:style>
  <w:style w:type="character" w:customStyle="1" w:styleId="48">
    <w:name w:val="Heading 6 Char"/>
    <w:basedOn w:val="38"/>
    <w:qFormat/>
    <w:uiPriority w:val="9"/>
    <w:rPr>
      <w:rFonts w:ascii="Arial" w:hAnsi="Arial" w:eastAsia="Arial" w:cs="Arial"/>
      <w:b/>
      <w:bCs/>
      <w:sz w:val="22"/>
      <w:szCs w:val="22"/>
    </w:rPr>
  </w:style>
  <w:style w:type="character" w:customStyle="1" w:styleId="49">
    <w:name w:val="Heading 7 Char"/>
    <w:basedOn w:val="38"/>
    <w:qFormat/>
    <w:uiPriority w:val="9"/>
    <w:rPr>
      <w:rFonts w:ascii="Arial" w:hAnsi="Arial" w:eastAsia="Arial" w:cs="Arial"/>
      <w:b/>
      <w:bCs/>
      <w:i/>
      <w:iCs/>
      <w:sz w:val="22"/>
      <w:szCs w:val="22"/>
    </w:rPr>
  </w:style>
  <w:style w:type="character" w:customStyle="1" w:styleId="50">
    <w:name w:val="Heading 8 Char"/>
    <w:basedOn w:val="38"/>
    <w:qFormat/>
    <w:uiPriority w:val="9"/>
    <w:rPr>
      <w:rFonts w:ascii="Arial" w:hAnsi="Arial" w:eastAsia="Arial" w:cs="Arial"/>
      <w:i/>
      <w:iCs/>
      <w:sz w:val="22"/>
      <w:szCs w:val="22"/>
    </w:rPr>
  </w:style>
  <w:style w:type="character" w:customStyle="1" w:styleId="51">
    <w:name w:val="Heading 9 Char"/>
    <w:basedOn w:val="38"/>
    <w:qFormat/>
    <w:uiPriority w:val="9"/>
    <w:rPr>
      <w:rFonts w:ascii="Arial" w:hAnsi="Arial" w:eastAsia="Arial" w:cs="Arial"/>
      <w:i/>
      <w:iCs/>
      <w:sz w:val="21"/>
      <w:szCs w:val="21"/>
    </w:rPr>
  </w:style>
  <w:style w:type="character" w:customStyle="1" w:styleId="52">
    <w:name w:val="Title Char"/>
    <w:basedOn w:val="38"/>
    <w:qFormat/>
    <w:uiPriority w:val="10"/>
    <w:rPr>
      <w:sz w:val="48"/>
      <w:szCs w:val="48"/>
    </w:rPr>
  </w:style>
  <w:style w:type="character" w:customStyle="1" w:styleId="53">
    <w:name w:val="Subtitle Char"/>
    <w:basedOn w:val="38"/>
    <w:qFormat/>
    <w:uiPriority w:val="11"/>
    <w:rPr>
      <w:sz w:val="24"/>
      <w:szCs w:val="24"/>
    </w:rPr>
  </w:style>
  <w:style w:type="character" w:customStyle="1" w:styleId="54">
    <w:name w:val="Quote Char"/>
    <w:qFormat/>
    <w:uiPriority w:val="29"/>
    <w:rPr>
      <w:i/>
    </w:rPr>
  </w:style>
  <w:style w:type="character" w:customStyle="1" w:styleId="55">
    <w:name w:val="Intense Quote Char"/>
    <w:qFormat/>
    <w:uiPriority w:val="30"/>
    <w:rPr>
      <w:i/>
    </w:rPr>
  </w:style>
  <w:style w:type="table" w:customStyle="1" w:styleId="56">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3">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6">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7">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69">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0">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1">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2">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3">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4">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75">
    <w:name w:val="Footnote Text Char"/>
    <w:qFormat/>
    <w:uiPriority w:val="99"/>
    <w:rPr>
      <w:sz w:val="18"/>
    </w:rPr>
  </w:style>
  <w:style w:type="character" w:customStyle="1" w:styleId="76">
    <w:name w:val="Endnote Text Char"/>
    <w:qFormat/>
    <w:uiPriority w:val="99"/>
    <w:rPr>
      <w:sz w:val="20"/>
    </w:rPr>
  </w:style>
  <w:style w:type="paragraph" w:customStyle="1" w:styleId="77">
    <w:name w:val="TOC Heading"/>
    <w:unhideWhenUsed/>
    <w:qFormat/>
    <w:uiPriority w:val="39"/>
    <w:rPr>
      <w:rFonts w:hint="default" w:asciiTheme="minorHAnsi" w:hAnsiTheme="minorHAnsi" w:eastAsiaTheme="minorEastAsia" w:cstheme="minorBidi"/>
    </w:rPr>
  </w:style>
  <w:style w:type="paragraph" w:customStyle="1" w:styleId="78">
    <w:name w:val="报告正文"/>
    <w:basedOn w:val="1"/>
    <w:qFormat/>
    <w:uiPriority w:val="0"/>
    <w:pPr>
      <w:ind w:firstLine="560"/>
    </w:pPr>
    <w:rPr>
      <w:szCs w:val="20"/>
      <w:lang w:val="zh-CN"/>
    </w:rPr>
  </w:style>
  <w:style w:type="character" w:customStyle="1" w:styleId="79">
    <w:name w:val="Heading 1 Char"/>
    <w:basedOn w:val="38"/>
    <w:qFormat/>
    <w:uiPriority w:val="9"/>
    <w:rPr>
      <w:rFonts w:ascii="Arial" w:hAnsi="Arial" w:eastAsia="Arial" w:cs="Arial"/>
      <w:sz w:val="40"/>
      <w:szCs w:val="40"/>
    </w:rPr>
  </w:style>
  <w:style w:type="character" w:customStyle="1" w:styleId="80">
    <w:name w:val="标题 2 Char"/>
    <w:basedOn w:val="38"/>
    <w:link w:val="3"/>
    <w:qFormat/>
    <w:uiPriority w:val="9"/>
    <w:rPr>
      <w:rFonts w:ascii="Arial" w:hAnsi="Arial" w:eastAsia="Arial" w:cs="Arial"/>
      <w:sz w:val="34"/>
    </w:rPr>
  </w:style>
  <w:style w:type="character" w:customStyle="1" w:styleId="81">
    <w:name w:val="标题 3 Char"/>
    <w:basedOn w:val="38"/>
    <w:link w:val="4"/>
    <w:qFormat/>
    <w:uiPriority w:val="9"/>
    <w:rPr>
      <w:rFonts w:ascii="Arial" w:hAnsi="Arial" w:eastAsia="Arial" w:cs="Arial"/>
      <w:sz w:val="30"/>
      <w:szCs w:val="30"/>
    </w:rPr>
  </w:style>
  <w:style w:type="character" w:customStyle="1" w:styleId="82">
    <w:name w:val="标题 4 Char"/>
    <w:basedOn w:val="38"/>
    <w:link w:val="5"/>
    <w:qFormat/>
    <w:uiPriority w:val="9"/>
    <w:rPr>
      <w:rFonts w:ascii="Arial" w:hAnsi="Arial" w:eastAsia="Arial" w:cs="Arial"/>
      <w:b/>
      <w:bCs/>
      <w:sz w:val="26"/>
      <w:szCs w:val="26"/>
    </w:rPr>
  </w:style>
  <w:style w:type="character" w:customStyle="1" w:styleId="83">
    <w:name w:val="标题 5 Char"/>
    <w:basedOn w:val="38"/>
    <w:link w:val="6"/>
    <w:qFormat/>
    <w:uiPriority w:val="9"/>
    <w:rPr>
      <w:rFonts w:ascii="Arial" w:hAnsi="Arial" w:eastAsia="Arial" w:cs="Arial"/>
      <w:b/>
      <w:bCs/>
      <w:sz w:val="24"/>
      <w:szCs w:val="24"/>
    </w:rPr>
  </w:style>
  <w:style w:type="character" w:customStyle="1" w:styleId="84">
    <w:name w:val="标题 6 Char"/>
    <w:basedOn w:val="38"/>
    <w:link w:val="7"/>
    <w:qFormat/>
    <w:uiPriority w:val="9"/>
    <w:rPr>
      <w:rFonts w:ascii="Arial" w:hAnsi="Arial" w:eastAsia="Arial" w:cs="Arial"/>
      <w:b/>
      <w:bCs/>
      <w:sz w:val="22"/>
      <w:szCs w:val="22"/>
    </w:rPr>
  </w:style>
  <w:style w:type="character" w:customStyle="1" w:styleId="85">
    <w:name w:val="标题 7 Char"/>
    <w:basedOn w:val="38"/>
    <w:link w:val="8"/>
    <w:qFormat/>
    <w:uiPriority w:val="9"/>
    <w:rPr>
      <w:rFonts w:ascii="Arial" w:hAnsi="Arial" w:eastAsia="Arial" w:cs="Arial"/>
      <w:b/>
      <w:bCs/>
      <w:i/>
      <w:iCs/>
      <w:sz w:val="22"/>
      <w:szCs w:val="22"/>
    </w:rPr>
  </w:style>
  <w:style w:type="character" w:customStyle="1" w:styleId="86">
    <w:name w:val="标题 8 Char"/>
    <w:basedOn w:val="38"/>
    <w:link w:val="9"/>
    <w:qFormat/>
    <w:uiPriority w:val="9"/>
    <w:rPr>
      <w:rFonts w:ascii="Arial" w:hAnsi="Arial" w:eastAsia="Arial" w:cs="Arial"/>
      <w:i/>
      <w:iCs/>
      <w:sz w:val="22"/>
      <w:szCs w:val="22"/>
    </w:rPr>
  </w:style>
  <w:style w:type="character" w:customStyle="1" w:styleId="87">
    <w:name w:val="标题 9 Char"/>
    <w:basedOn w:val="38"/>
    <w:link w:val="10"/>
    <w:qFormat/>
    <w:uiPriority w:val="9"/>
    <w:rPr>
      <w:rFonts w:ascii="Arial" w:hAnsi="Arial" w:eastAsia="Arial" w:cs="Arial"/>
      <w:i/>
      <w:iCs/>
      <w:sz w:val="21"/>
      <w:szCs w:val="21"/>
    </w:rPr>
  </w:style>
  <w:style w:type="paragraph" w:styleId="88">
    <w:name w:val="List Paragraph"/>
    <w:basedOn w:val="1"/>
    <w:qFormat/>
    <w:uiPriority w:val="34"/>
    <w:pPr>
      <w:ind w:left="720"/>
      <w:contextualSpacing/>
    </w:pPr>
  </w:style>
  <w:style w:type="character" w:customStyle="1" w:styleId="89">
    <w:name w:val="标题 Char"/>
    <w:basedOn w:val="38"/>
    <w:link w:val="33"/>
    <w:qFormat/>
    <w:uiPriority w:val="10"/>
    <w:rPr>
      <w:sz w:val="48"/>
      <w:szCs w:val="48"/>
    </w:rPr>
  </w:style>
  <w:style w:type="character" w:customStyle="1" w:styleId="90">
    <w:name w:val="副标题 Char"/>
    <w:basedOn w:val="38"/>
    <w:link w:val="26"/>
    <w:qFormat/>
    <w:uiPriority w:val="11"/>
    <w:rPr>
      <w:sz w:val="24"/>
      <w:szCs w:val="24"/>
    </w:rPr>
  </w:style>
  <w:style w:type="paragraph" w:styleId="91">
    <w:name w:val="Quote"/>
    <w:basedOn w:val="1"/>
    <w:next w:val="1"/>
    <w:link w:val="92"/>
    <w:qFormat/>
    <w:uiPriority w:val="29"/>
    <w:pPr>
      <w:ind w:left="720" w:right="720"/>
    </w:pPr>
    <w:rPr>
      <w:i/>
    </w:rPr>
  </w:style>
  <w:style w:type="character" w:customStyle="1" w:styleId="92">
    <w:name w:val="引用 Char"/>
    <w:link w:val="91"/>
    <w:qFormat/>
    <w:uiPriority w:val="29"/>
    <w:rPr>
      <w:i/>
    </w:rPr>
  </w:style>
  <w:style w:type="paragraph" w:styleId="93">
    <w:name w:val="Intense Quote"/>
    <w:basedOn w:val="1"/>
    <w:next w:val="1"/>
    <w:link w:val="9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4">
    <w:name w:val="明显引用 Char"/>
    <w:link w:val="93"/>
    <w:qFormat/>
    <w:uiPriority w:val="30"/>
    <w:rPr>
      <w:i/>
    </w:rPr>
  </w:style>
  <w:style w:type="character" w:customStyle="1" w:styleId="95">
    <w:name w:val="Header Char"/>
    <w:basedOn w:val="38"/>
    <w:qFormat/>
    <w:uiPriority w:val="99"/>
  </w:style>
  <w:style w:type="character" w:customStyle="1" w:styleId="96">
    <w:name w:val="Footer Char"/>
    <w:basedOn w:val="38"/>
    <w:qFormat/>
    <w:uiPriority w:val="99"/>
  </w:style>
  <w:style w:type="character" w:customStyle="1" w:styleId="97">
    <w:name w:val="Caption Char"/>
    <w:qFormat/>
    <w:uiPriority w:val="99"/>
  </w:style>
  <w:style w:type="table" w:customStyle="1" w:styleId="98">
    <w:name w:val="Table Grid Light"/>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9">
    <w:name w:val="无格式表格 11"/>
    <w:basedOn w:val="36"/>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0">
    <w:name w:val="无格式表格 21"/>
    <w:basedOn w:val="36"/>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1">
    <w:name w:val="无格式表格 31"/>
    <w:basedOn w:val="36"/>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无格式表格 41"/>
    <w:basedOn w:val="36"/>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3">
    <w:name w:val="无格式表格 51"/>
    <w:basedOn w:val="36"/>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4">
    <w:name w:val="网格表 1 浅色1"/>
    <w:basedOn w:val="36"/>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5">
    <w:name w:val="Grid Table 1 Light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06">
    <w:name w:val="Grid Table 1 Light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07">
    <w:name w:val="Grid Table 1 Light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08">
    <w:name w:val="Grid Table 1 Light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09">
    <w:name w:val="Grid Table 1 Light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10">
    <w:name w:val="Grid Table 1 Light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11">
    <w:name w:val="网格表 2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2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13">
    <w:name w:val="Grid Table 2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14">
    <w:name w:val="Grid Table 2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15">
    <w:name w:val="Grid Table 2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16">
    <w:name w:val="Grid Table 2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17">
    <w:name w:val="Grid Table 2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18">
    <w:name w:val="网格表 31"/>
    <w:basedOn w:val="36"/>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3 - Accent 1"/>
    <w:basedOn w:val="36"/>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20">
    <w:name w:val="Grid Table 3 - Accent 2"/>
    <w:basedOn w:val="36"/>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1">
    <w:name w:val="Grid Table 3 - Accent 3"/>
    <w:basedOn w:val="36"/>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2">
    <w:name w:val="Grid Table 3 - Accent 4"/>
    <w:basedOn w:val="36"/>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23">
    <w:name w:val="Grid Table 3 - Accent 5"/>
    <w:basedOn w:val="36"/>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24">
    <w:name w:val="Grid Table 3 - Accent 6"/>
    <w:basedOn w:val="36"/>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25">
    <w:name w:val="网格表 41"/>
    <w:basedOn w:val="36"/>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6">
    <w:name w:val="Grid Table 4 - Accent 1"/>
    <w:basedOn w:val="36"/>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27">
    <w:name w:val="Grid Table 4 - Accent 2"/>
    <w:basedOn w:val="36"/>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28">
    <w:name w:val="Grid Table 4 - Accent 3"/>
    <w:basedOn w:val="36"/>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29">
    <w:name w:val="Grid Table 4 - Accent 4"/>
    <w:basedOn w:val="36"/>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30">
    <w:name w:val="Grid Table 4 - Accent 5"/>
    <w:basedOn w:val="36"/>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31">
    <w:name w:val="Grid Table 4 - Accent 6"/>
    <w:basedOn w:val="36"/>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32">
    <w:name w:val="网格表 5 深色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3">
    <w:name w:val="Grid Table 5 Dark- Accent 1"/>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34">
    <w:name w:val="Grid Table 5 Dark - Accent 2"/>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35">
    <w:name w:val="Grid Table 5 Dark - Accent 3"/>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36">
    <w:name w:val="Grid Table 5 Dark- Accent 4"/>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37">
    <w:name w:val="Grid Table 5 Dark - Accent 5"/>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38">
    <w:name w:val="Grid Table 5 Dark - Accent 6"/>
    <w:basedOn w:val="3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39">
    <w:name w:val="网格表 6 彩色1"/>
    <w:basedOn w:val="36"/>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0">
    <w:name w:val="Grid Table 6 Colorful - Accent 1"/>
    <w:basedOn w:val="36"/>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41">
    <w:name w:val="Grid Table 6 Colorful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2">
    <w:name w:val="Grid Table 6 Colorful - Accent 3"/>
    <w:basedOn w:val="36"/>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43">
    <w:name w:val="Grid Table 6 Colorful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44">
    <w:name w:val="Grid Table 6 Colorful - Accent 5"/>
    <w:basedOn w:val="36"/>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45">
    <w:name w:val="Grid Table 6 Colorful - Accent 6"/>
    <w:basedOn w:val="36"/>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46">
    <w:name w:val="网格表 7 彩色1"/>
    <w:basedOn w:val="36"/>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7">
    <w:name w:val="Grid Table 7 Colorful - Accent 1"/>
    <w:basedOn w:val="36"/>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48">
    <w:name w:val="Grid Table 7 Colorful - Accent 2"/>
    <w:basedOn w:val="36"/>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Grid Table 7 Colorful - Accent 3"/>
    <w:basedOn w:val="36"/>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50">
    <w:name w:val="Grid Table 7 Colorful - Accent 4"/>
    <w:basedOn w:val="36"/>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Grid Table 7 Colorful - Accent 5"/>
    <w:basedOn w:val="36"/>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52">
    <w:name w:val="Grid Table 7 Colorful - Accent 6"/>
    <w:basedOn w:val="36"/>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53">
    <w:name w:val="清单表 1 浅色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4">
    <w:name w:val="List Table 1 Light - Accent 1"/>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55">
    <w:name w:val="List Table 1 Light - Accent 2"/>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56">
    <w:name w:val="List Table 1 Light - Accent 3"/>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57">
    <w:name w:val="List Table 1 Light - Accent 4"/>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58">
    <w:name w:val="List Table 1 Light - Accent 5"/>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59">
    <w:name w:val="List Table 1 Light - Accent 6"/>
    <w:basedOn w:val="36"/>
    <w:qFormat/>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60">
    <w:name w:val="清单表 21"/>
    <w:basedOn w:val="36"/>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2 - Accent 1"/>
    <w:basedOn w:val="36"/>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62">
    <w:name w:val="List Table 2 - Accent 2"/>
    <w:basedOn w:val="36"/>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63">
    <w:name w:val="List Table 2 - Accent 3"/>
    <w:basedOn w:val="36"/>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64">
    <w:name w:val="List Table 2 - Accent 4"/>
    <w:basedOn w:val="36"/>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65">
    <w:name w:val="List Table 2 - Accent 5"/>
    <w:basedOn w:val="36"/>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66">
    <w:name w:val="List Table 2 - Accent 6"/>
    <w:basedOn w:val="36"/>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67">
    <w:name w:val="清单表 3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8">
    <w:name w:val="List Table 3 - Accent 1"/>
    <w:basedOn w:val="36"/>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69">
    <w:name w:val="List Table 3 - Accent 2"/>
    <w:basedOn w:val="36"/>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70">
    <w:name w:val="List Table 3 - Accent 3"/>
    <w:basedOn w:val="36"/>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71">
    <w:name w:val="List Table 3 - Accent 4"/>
    <w:basedOn w:val="36"/>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72">
    <w:name w:val="List Table 3 - Accent 5"/>
    <w:basedOn w:val="36"/>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73">
    <w:name w:val="List Table 3 - Accent 6"/>
    <w:basedOn w:val="36"/>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74">
    <w:name w:val="清单表 41"/>
    <w:basedOn w:val="36"/>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5">
    <w:name w:val="List Table 4 - Accent 1"/>
    <w:basedOn w:val="36"/>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76">
    <w:name w:val="List Table 4 - Accent 2"/>
    <w:basedOn w:val="36"/>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77">
    <w:name w:val="List Table 4 - Accent 3"/>
    <w:basedOn w:val="36"/>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78">
    <w:name w:val="List Table 4 - Accent 4"/>
    <w:basedOn w:val="36"/>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79">
    <w:name w:val="List Table 4 - Accent 5"/>
    <w:basedOn w:val="36"/>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80">
    <w:name w:val="List Table 4 - Accent 6"/>
    <w:basedOn w:val="36"/>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81">
    <w:name w:val="清单表 5 深色1"/>
    <w:basedOn w:val="36"/>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2">
    <w:name w:val="List Table 5 Dark - Accent 1"/>
    <w:basedOn w:val="36"/>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83">
    <w:name w:val="List Table 5 Dark - Accent 2"/>
    <w:basedOn w:val="36"/>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84">
    <w:name w:val="List Table 5 Dark - Accent 3"/>
    <w:basedOn w:val="36"/>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85">
    <w:name w:val="List Table 5 Dark - Accent 4"/>
    <w:basedOn w:val="36"/>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86">
    <w:name w:val="List Table 5 Dark - Accent 5"/>
    <w:basedOn w:val="36"/>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87">
    <w:name w:val="List Table 5 Dark - Accent 6"/>
    <w:basedOn w:val="36"/>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88">
    <w:name w:val="清单表 6 彩色1"/>
    <w:basedOn w:val="36"/>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9">
    <w:name w:val="List Table 6 Colorful - Accent 1"/>
    <w:basedOn w:val="36"/>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0">
    <w:name w:val="List Table 6 Colorful - Accent 2"/>
    <w:basedOn w:val="36"/>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91">
    <w:name w:val="List Table 6 Colorful - Accent 3"/>
    <w:basedOn w:val="36"/>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92">
    <w:name w:val="List Table 6 Colorful - Accent 4"/>
    <w:basedOn w:val="36"/>
    <w:qFormat/>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93">
    <w:name w:val="List Table 6 Colorful - Accent 5"/>
    <w:basedOn w:val="36"/>
    <w:qFormat/>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94">
    <w:name w:val="List Table 6 Colorful - Accent 6"/>
    <w:basedOn w:val="36"/>
    <w:qFormat/>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95">
    <w:name w:val="清单表 7 彩色1"/>
    <w:basedOn w:val="36"/>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6">
    <w:name w:val="List Table 7 Colorful - Accent 1"/>
    <w:basedOn w:val="36"/>
    <w:qFormat/>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97">
    <w:name w:val="List Table 7 Colorful - Accent 2"/>
    <w:basedOn w:val="36"/>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98">
    <w:name w:val="List Table 7 Colorful - Accent 3"/>
    <w:basedOn w:val="36"/>
    <w:qFormat/>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99">
    <w:name w:val="List Table 7 Colorful - Accent 4"/>
    <w:basedOn w:val="36"/>
    <w:qFormat/>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00">
    <w:name w:val="List Table 7 Colorful - Accent 5"/>
    <w:basedOn w:val="36"/>
    <w:qFormat/>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01">
    <w:name w:val="List Table 7 Colorful - Accent 6"/>
    <w:basedOn w:val="36"/>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02">
    <w:name w:val="Lined - Accent"/>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3">
    <w:name w:val="Lined - Accent 1"/>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04">
    <w:name w:val="Lined - Accent 2"/>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05">
    <w:name w:val="Lined - Accent 3"/>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06">
    <w:name w:val="Lined - Accent 4"/>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07">
    <w:name w:val="Lined - Accent 5"/>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08">
    <w:name w:val="Lined - Accent 6"/>
    <w:basedOn w:val="36"/>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09">
    <w:name w:val="Bordered &amp; Lined - Accent"/>
    <w:basedOn w:val="36"/>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0">
    <w:name w:val="Bordered &amp; Lined - Accent 1"/>
    <w:basedOn w:val="36"/>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11">
    <w:name w:val="Bordered &amp; Lined - Accent 2"/>
    <w:basedOn w:val="36"/>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12">
    <w:name w:val="Bordered &amp; Lined - Accent 3"/>
    <w:basedOn w:val="36"/>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13">
    <w:name w:val="Bordered &amp; Lined - Accent 4"/>
    <w:basedOn w:val="36"/>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14">
    <w:name w:val="Bordered &amp; Lined - Accent 5"/>
    <w:basedOn w:val="36"/>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15">
    <w:name w:val="Bordered &amp; Lined - Accent 6"/>
    <w:basedOn w:val="36"/>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16">
    <w:name w:val="Bordered"/>
    <w:basedOn w:val="36"/>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7">
    <w:name w:val="Bordered - Accent 1"/>
    <w:basedOn w:val="36"/>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18">
    <w:name w:val="Bordered - Accent 2"/>
    <w:basedOn w:val="36"/>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19">
    <w:name w:val="Bordered - Accent 3"/>
    <w:basedOn w:val="36"/>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20">
    <w:name w:val="Bordered - Accent 4"/>
    <w:basedOn w:val="36"/>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21">
    <w:name w:val="Bordered - Accent 5"/>
    <w:basedOn w:val="36"/>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22">
    <w:name w:val="Bordered - Accent 6"/>
    <w:basedOn w:val="36"/>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23">
    <w:name w:val="脚注文本 Char"/>
    <w:link w:val="27"/>
    <w:qFormat/>
    <w:uiPriority w:val="99"/>
    <w:rPr>
      <w:sz w:val="18"/>
    </w:rPr>
  </w:style>
  <w:style w:type="character" w:customStyle="1" w:styleId="224">
    <w:name w:val="尾注文本 Char"/>
    <w:link w:val="21"/>
    <w:qFormat/>
    <w:uiPriority w:val="99"/>
    <w:rPr>
      <w:sz w:val="20"/>
    </w:rPr>
  </w:style>
  <w:style w:type="paragraph" w:customStyle="1" w:styleId="225">
    <w:name w:val="TOC 标题1"/>
    <w:unhideWhenUsed/>
    <w:qFormat/>
    <w:uiPriority w:val="39"/>
    <w:rPr>
      <w:rFonts w:hint="default" w:asciiTheme="minorHAnsi" w:hAnsiTheme="minorHAnsi" w:eastAsiaTheme="minorEastAsia" w:cstheme="minorBidi"/>
      <w:lang w:val="en-US" w:eastAsia="zh-CN" w:bidi="ar-SA"/>
    </w:rPr>
  </w:style>
  <w:style w:type="paragraph" w:customStyle="1" w:styleId="226">
    <w:name w:val="普通正文"/>
    <w:basedOn w:val="1"/>
    <w:qFormat/>
    <w:uiPriority w:val="0"/>
    <w:pPr>
      <w:spacing w:before="120" w:after="120" w:line="360" w:lineRule="auto"/>
      <w:ind w:firstLine="480"/>
      <w:jc w:val="left"/>
    </w:pPr>
    <w:rPr>
      <w:rFonts w:ascii="Arial" w:hAnsi="Arial"/>
      <w:sz w:val="24"/>
      <w:szCs w:val="24"/>
    </w:rPr>
  </w:style>
  <w:style w:type="paragraph" w:styleId="227">
    <w:name w:val="No Spacing"/>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28">
    <w:name w:val="一级目录"/>
    <w:next w:val="1"/>
    <w:qFormat/>
    <w:uiPriority w:val="0"/>
    <w:pPr>
      <w:jc w:val="center"/>
      <w:outlineLvl w:val="0"/>
    </w:pPr>
    <w:rPr>
      <w:rFonts w:hint="default" w:ascii="黑体" w:hAnsi="Times New Roman" w:eastAsia="黑体" w:cs="Times New Roman"/>
      <w:b/>
      <w:sz w:val="44"/>
      <w:szCs w:val="44"/>
      <w:lang w:val="en-US" w:eastAsia="zh-CN" w:bidi="ar-SA"/>
    </w:rPr>
  </w:style>
  <w:style w:type="paragraph" w:customStyle="1" w:styleId="229">
    <w:name w:val="二级目录"/>
    <w:next w:val="1"/>
    <w:qFormat/>
    <w:uiPriority w:val="0"/>
    <w:pPr>
      <w:numPr>
        <w:ilvl w:val="0"/>
        <w:numId w:val="1"/>
      </w:numPr>
      <w:tabs>
        <w:tab w:val="left" w:pos="1145"/>
      </w:tabs>
      <w:outlineLvl w:val="1"/>
    </w:pPr>
    <w:rPr>
      <w:rFonts w:hint="default" w:ascii="Times New Roman" w:hAnsi="Times New Roman" w:eastAsia="宋体" w:cs="Times New Roman"/>
      <w:b/>
      <w:sz w:val="30"/>
      <w:szCs w:val="28"/>
      <w:lang w:val="en-US" w:eastAsia="zh-CN" w:bidi="ar-SA"/>
    </w:rPr>
  </w:style>
  <w:style w:type="paragraph" w:customStyle="1" w:styleId="230">
    <w:name w:val="Table Paragraph"/>
    <w:basedOn w:val="1"/>
    <w:qFormat/>
    <w:uiPriority w:val="1"/>
    <w:rPr>
      <w:rFonts w:ascii="宋体" w:hAnsi="宋体" w:cs="宋体"/>
      <w:lang w:val="zh-CN" w:bidi="zh-CN"/>
    </w:rPr>
  </w:style>
  <w:style w:type="paragraph" w:customStyle="1" w:styleId="231">
    <w:name w:val="Default"/>
    <w:qFormat/>
    <w:uiPriority w:val="0"/>
    <w:pPr>
      <w:widowControl w:val="0"/>
    </w:pPr>
    <w:rPr>
      <w:rFonts w:hint="default" w:ascii="Times New Roman" w:hAnsi="Times New Roman" w:eastAsia="宋体" w:cs="Calibri"/>
      <w:color w:val="000000"/>
      <w:sz w:val="24"/>
      <w:szCs w:val="24"/>
      <w:lang w:val="en-US" w:eastAsia="zh-CN" w:bidi="ar-SA"/>
    </w:rPr>
  </w:style>
  <w:style w:type="paragraph" w:customStyle="1" w:styleId="232">
    <w:name w:val="正文文本11"/>
    <w:basedOn w:val="1"/>
    <w:next w:val="1"/>
    <w:qFormat/>
    <w:uiPriority w:val="0"/>
    <w:rPr>
      <w:rFonts w:ascii="楷体_GB2312" w:hAnsi="Arial" w:eastAsia="楷体_GB2312"/>
      <w:sz w:val="28"/>
      <w:szCs w:val="28"/>
    </w:rPr>
  </w:style>
  <w:style w:type="paragraph" w:customStyle="1" w:styleId="233">
    <w:name w:val="一级条标题"/>
    <w:basedOn w:val="234"/>
    <w:next w:val="23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34">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35">
    <w:name w:val="段"/>
    <w:next w:val="1"/>
    <w:qFormat/>
    <w:uiPriority w:val="0"/>
    <w:pPr>
      <w:widowControl w:val="0"/>
      <w:ind w:firstLine="200"/>
      <w:jc w:val="both"/>
    </w:pPr>
    <w:rPr>
      <w:rFonts w:hint="default" w:ascii="宋体" w:hAnsi="宋体" w:eastAsia="宋体" w:cs="宋体"/>
      <w:color w:val="000000"/>
      <w:sz w:val="21"/>
      <w:szCs w:val="21"/>
      <w:lang w:val="en-US" w:eastAsia="zh-CN" w:bidi="ar-SA"/>
    </w:rPr>
  </w:style>
  <w:style w:type="character" w:customStyle="1" w:styleId="236">
    <w:name w:val="font51"/>
    <w:basedOn w:val="38"/>
    <w:qFormat/>
    <w:uiPriority w:val="0"/>
    <w:rPr>
      <w:rFonts w:hint="eastAsia" w:ascii="宋体" w:hAnsi="宋体" w:eastAsia="宋体" w:cs="宋体"/>
      <w:b/>
      <w:bCs/>
      <w:color w:val="000000"/>
      <w:sz w:val="40"/>
      <w:szCs w:val="40"/>
      <w:u w:val="none"/>
    </w:rPr>
  </w:style>
  <w:style w:type="paragraph" w:customStyle="1" w:styleId="237">
    <w:name w:val="正文缩进1"/>
    <w:basedOn w:val="1"/>
    <w:qFormat/>
    <w:uiPriority w:val="99"/>
    <w:pPr>
      <w:jc w:val="left"/>
    </w:pPr>
    <w:rPr>
      <w:sz w:val="24"/>
    </w:rPr>
  </w:style>
  <w:style w:type="paragraph" w:customStyle="1" w:styleId="238">
    <w:name w:val="BodyText"/>
    <w:basedOn w:val="1"/>
    <w:qFormat/>
    <w:uiPriority w:val="0"/>
    <w:pPr>
      <w:spacing w:after="60" w:line="360" w:lineRule="atLeast"/>
      <w:ind w:left="72" w:right="30"/>
      <w:jc w:val="center"/>
    </w:pPr>
  </w:style>
  <w:style w:type="table" w:customStyle="1" w:styleId="239">
    <w:name w:val="网格型1"/>
    <w:basedOn w:val="36"/>
    <w:qFormat/>
    <w:uiPriority w:val="39"/>
    <w:rPr>
      <w:rFonts w:ascii="等线" w:hAnsi="等线" w:eastAsia="等线"/>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40">
    <w:name w:val="页脚 Char"/>
    <w:basedOn w:val="38"/>
    <w:link w:val="22"/>
    <w:qFormat/>
    <w:uiPriority w:val="99"/>
    <w:rPr>
      <w:rFonts w:ascii="Times New Roman" w:hAnsi="Times New Roman" w:eastAsia="宋体" w:cs="Times New Roman"/>
      <w:sz w:val="18"/>
      <w:szCs w:val="18"/>
    </w:rPr>
  </w:style>
  <w:style w:type="character" w:customStyle="1" w:styleId="241">
    <w:name w:val="font21"/>
    <w:basedOn w:val="38"/>
    <w:qFormat/>
    <w:uiPriority w:val="0"/>
    <w:rPr>
      <w:rFonts w:hint="eastAsia" w:ascii="宋体" w:hAnsi="宋体" w:eastAsia="宋体" w:cs="宋体"/>
      <w:color w:val="000000"/>
      <w:sz w:val="24"/>
      <w:szCs w:val="24"/>
      <w:u w:val="none"/>
    </w:rPr>
  </w:style>
  <w:style w:type="character" w:customStyle="1" w:styleId="242">
    <w:name w:val="active16"/>
    <w:basedOn w:val="38"/>
    <w:qFormat/>
    <w:uiPriority w:val="0"/>
    <w:rPr>
      <w:color w:val="FFFFFF"/>
      <w:bdr w:val="single" w:color="0F5BB9" w:sz="4" w:space="0"/>
      <w:shd w:val="clear" w:fill="0F5BB9"/>
    </w:rPr>
  </w:style>
  <w:style w:type="paragraph" w:customStyle="1" w:styleId="243">
    <w:name w:val="正文1"/>
    <w:next w:val="244"/>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44">
    <w:name w:val="正文文本1"/>
    <w:basedOn w:val="1"/>
    <w:next w:val="233"/>
    <w:qFormat/>
    <w:uiPriority w:val="0"/>
    <w:rPr>
      <w:sz w:val="24"/>
      <w:szCs w:val="24"/>
    </w:rPr>
  </w:style>
  <w:style w:type="character" w:customStyle="1" w:styleId="245">
    <w:name w:val="font41"/>
    <w:basedOn w:val="38"/>
    <w:qFormat/>
    <w:uiPriority w:val="0"/>
    <w:rPr>
      <w:rFonts w:hint="eastAsia" w:ascii="宋体" w:hAnsi="宋体" w:eastAsia="宋体" w:cs="宋体"/>
      <w:color w:val="000000"/>
      <w:sz w:val="18"/>
      <w:szCs w:val="18"/>
      <w:u w:val="none"/>
    </w:rPr>
  </w:style>
  <w:style w:type="character" w:customStyle="1" w:styleId="246">
    <w:name w:val="font61"/>
    <w:basedOn w:val="38"/>
    <w:qFormat/>
    <w:uiPriority w:val="0"/>
    <w:rPr>
      <w:rFonts w:ascii="宋体" w:hAnsi="宋体" w:eastAsia="宋体" w:cs="宋体"/>
      <w:color w:val="000000"/>
      <w:sz w:val="18"/>
      <w:szCs w:val="18"/>
      <w:u w:val="none"/>
    </w:rPr>
  </w:style>
  <w:style w:type="character" w:customStyle="1" w:styleId="247">
    <w:name w:val="font71"/>
    <w:basedOn w:val="38"/>
    <w:qFormat/>
    <w:uiPriority w:val="0"/>
    <w:rPr>
      <w:rFonts w:hint="eastAsia" w:ascii="宋体" w:hAnsi="宋体" w:eastAsia="宋体" w:cs="宋体"/>
      <w:color w:val="FF0000"/>
      <w:sz w:val="18"/>
      <w:szCs w:val="18"/>
      <w:u w:val="none"/>
    </w:rPr>
  </w:style>
  <w:style w:type="paragraph" w:customStyle="1" w:styleId="248">
    <w:name w:val="纯文本11"/>
    <w:qFormat/>
    <w:uiPriority w:val="0"/>
    <w:pPr>
      <w:widowControl w:val="0"/>
      <w:jc w:val="both"/>
    </w:pPr>
    <w:rPr>
      <w:rFonts w:hint="eastAsia" w:ascii="宋体" w:hAnsi="宋体" w:eastAsia="楷体_GB2312" w:cs="Times New Roman"/>
      <w:kern w:val="1"/>
      <w:sz w:val="28"/>
      <w:lang w:val="en-US" w:eastAsia="zh-CN" w:bidi="ar-SA"/>
    </w:rPr>
  </w:style>
  <w:style w:type="character" w:customStyle="1" w:styleId="249">
    <w:name w:val="font11"/>
    <w:basedOn w:val="38"/>
    <w:qFormat/>
    <w:uiPriority w:val="0"/>
    <w:rPr>
      <w:rFonts w:hint="eastAsia" w:ascii="宋体" w:hAnsi="宋体" w:eastAsia="宋体" w:cs="宋体"/>
      <w:color w:val="000000"/>
      <w:sz w:val="20"/>
      <w:szCs w:val="20"/>
      <w:u w:val="none"/>
    </w:rPr>
  </w:style>
  <w:style w:type="character" w:customStyle="1" w:styleId="250">
    <w:name w:val="font81"/>
    <w:basedOn w:val="38"/>
    <w:qFormat/>
    <w:uiPriority w:val="0"/>
    <w:rPr>
      <w:rFonts w:hint="eastAsia" w:ascii="宋体" w:hAnsi="宋体" w:eastAsia="宋体" w:cs="宋体"/>
      <w:b/>
      <w:bCs/>
      <w:color w:val="000000"/>
      <w:sz w:val="20"/>
      <w:szCs w:val="20"/>
      <w:u w:val="none"/>
    </w:rPr>
  </w:style>
  <w:style w:type="character" w:customStyle="1" w:styleId="251">
    <w:name w:val="font91"/>
    <w:basedOn w:val="38"/>
    <w:qFormat/>
    <w:uiPriority w:val="0"/>
    <w:rPr>
      <w:rFonts w:hint="eastAsia" w:ascii="宋体" w:hAnsi="宋体" w:eastAsia="宋体" w:cs="宋体"/>
      <w:color w:val="FF0000"/>
      <w:sz w:val="18"/>
      <w:szCs w:val="18"/>
      <w:u w:val="none"/>
    </w:rPr>
  </w:style>
  <w:style w:type="character" w:customStyle="1" w:styleId="252">
    <w:name w:val="font31"/>
    <w:basedOn w:val="38"/>
    <w:qFormat/>
    <w:uiPriority w:val="0"/>
    <w:rPr>
      <w:rFonts w:hint="eastAsia" w:ascii="宋体" w:hAnsi="宋体" w:eastAsia="宋体" w:cs="宋体"/>
      <w:color w:val="FF0000"/>
      <w:sz w:val="18"/>
      <w:szCs w:val="18"/>
      <w:u w:val="none"/>
    </w:rPr>
  </w:style>
  <w:style w:type="table" w:customStyle="1" w:styleId="253">
    <w:name w:val="Table Normal"/>
    <w:autoRedefine/>
    <w:semiHidden/>
    <w:unhideWhenUsed/>
    <w:qFormat/>
    <w:uiPriority w:val="0"/>
    <w:tblPr>
      <w:tblCellMar>
        <w:top w:w="0" w:type="dxa"/>
        <w:left w:w="0" w:type="dxa"/>
        <w:bottom w:w="0" w:type="dxa"/>
        <w:right w:w="0" w:type="dxa"/>
      </w:tblCellMar>
    </w:tblPr>
  </w:style>
  <w:style w:type="table" w:customStyle="1" w:styleId="254">
    <w:name w:val="网格型52"/>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12574</Words>
  <Characters>13463</Characters>
  <TotalTime>2</TotalTime>
  <ScaleCrop>false</ScaleCrop>
  <LinksUpToDate>false</LinksUpToDate>
  <CharactersWithSpaces>13619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user</dc:creator>
  <cp:lastModifiedBy>KomineC</cp:lastModifiedBy>
  <cp:lastPrinted>2025-12-17T07:08:00Z</cp:lastPrinted>
  <dcterms:modified xsi:type="dcterms:W3CDTF">2025-12-23T05:52:49Z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364D91A90F184A5296E3860D42E2DEBD_13</vt:lpwstr>
  </property>
  <property fmtid="{D5CDD505-2E9C-101B-9397-08002B2CF9AE}" pid="4" name="KSOTemplateDocerSaveRecord">
    <vt:lpwstr>eyJoZGlkIjoiYWFlYTE5ODU3MGE0Y2Y4ZmQ0NWUyZTlmNWYwNTNlOWQiLCJ1c2VySWQiOiI0ODEyMDkyMTMifQ==</vt:lpwstr>
  </property>
</Properties>
</file>